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PE.2014.0142 vom 17. Juni 2014</w:t>
      </w:r>
    </w:p>
    <w:p>
      <w:r>
        <w:t>VD Tribunal cantonal, 2014-06-17, FR</w:t>
      </w:r>
    </w:p>
    <w:p>
      <w:r>
        <w:rPr>
          <w:b/>
        </w:rPr>
        <w:t xml:space="preserve">Quelle: </w:t>
      </w:r>
      <w:r>
        <w:t>https://mcp.opencaselaw.ch/entscheid/vd_omni_PE.2014.0142</w:t>
      </w:r>
    </w:p>
    <w:p>
      <w:r>
        <w:t>FR: VD_OMNI PE.2014.0142 du 17 juin 2014</w:t>
      </w:r>
    </w:p>
    <w:p>
      <w:r>
        <w:t>IT: VD_OMNI PE.2014.0142 del 17 giugno 2014</w:t>
      </w:r>
    </w:p>
    <w:p>
      <w:pPr>
        <w:pStyle w:val="Heading2"/>
      </w:pPr>
      <w:r>
        <w:t>Regeste</w:t>
      </w:r>
    </w:p>
    <w:p>
      <w:r>
        <w:t>A.X.________/Service de la population (SPOP) | Ressortissant camerounais ayant obtenu une autorisation de séjour à la suite de son mariage avec une ressortissante suisse. Séparation après moins de trois ans de vie commune. Refus de renouveler l'autorisation de séjour de l'intéressé confirmé. Aucune raison personnelle majeure n'impose la poursuite de son séjour en Suisse (séjour en grande partie illégal, intégration socio-professionnelle pas particulièrement bonne).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compte tenu des féries judiciaires. Il respecte au surplus les conditions formelles énoncées à l’art. 79 LPA-VD.</w:t>
      </w:r>
    </w:p>
    <w:p>
      <w:r>
        <w:rPr>
          <w:b/>
        </w:rPr>
        <w:t>E. 2</w:t>
      </w:r>
    </w:p>
    <w:p>
      <w:r>
        <w:t>Le recourant a requis "le cas échéant" la fixation d'une audience en vue de son audition et la production du dossier d'asile de B. Y.________, "afin que l'autorité puisse être renseignée sur ses séjours antérieurs" .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127 III 576 consid. 2c p. 578 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134 I 140 consid. 5.3 p. 148 et les références). b) En l'espèce, on ne voit pas en quoi les mesures d'instruction requises seraient de nature à apporter des éléments décisifs pour l'issue du litige. S'agissant de la tenue d'une audience, le recourant a en effet déjà pu s'exprimer largement par écrit sur sa situation personnelle, en produisant notamment des fiches de salaire et son contrat de travail. On ne voit pas ce que son audition pourrait apporter de plus ou de nouveau à la cause. Quant à la production de son dossier d'asile ouvert sous une fausse identité, dès lors que ses explications selon lesquelles il a séjourné en Suisse sous ce faux nom de 2003 à 2010 sans discontinué ne sont pas contestées, il ne sera pas non plus donné suite à cette mesure d'instruction.</w:t>
      </w:r>
    </w:p>
    <w:p>
      <w:r>
        <w:rPr>
          <w:b/>
        </w:rPr>
        <w:t>E. 3</w:t>
      </w:r>
    </w:p>
    <w:p>
      <w:r>
        <w:t>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L'art. 49 LEtr dispose toutefois que l'exigence du ménage commun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b) En l'espèce, les époux X.________-Z.________ ne font plus ménage commun depuis avril 2012, soit depuis un peu plus de deux ans. Lors de son audition par la police le 24 juillet 2013, l'épouse du recourant a déclaré qu'elle n'avait pas l'intention de reprendre la vie commune et qu'elle ne ressentait plus rien pour son mari. Compte tenu de ces déclaration et de la durée de la séparation, une reprise de la vie commune n'apparaît pas envisageable, ce que le recourant ne semble plus contester. Ainsi, le recourant ne peut plus invoquer l'art. 42 al. 1 LEtr pour obtenir le renouvellement de son autorisation de séjour.</w:t>
      </w:r>
    </w:p>
    <w:p>
      <w:r>
        <w:rPr>
          <w:b/>
        </w:rPr>
        <w:t>E. 4</w:t>
      </w:r>
    </w:p>
    <w:p>
      <w:r>
        <w:t>a) L'art. 50 al. 1 let. a LEtr dispose qu’après la dissolution de la famille, le droit du conjoint à l’octroi d’une autorisation de séjour et à sa prolongation subsiste lorsque l’union conjugale a duré au moins trois ans et que l’intégration est réussie. Il s'agit de deux conditions cumulatives (ATF 136 I 113 consid. 3.3.3). L'union conjugale au sens de l'art. 50 al. 1 let. a LEtr suppose l'existence d'une communauté conjugale effectivement vécue ( voir entre autres, arrêt PE.2010.0237 du 21 avril 2011, ainsi que les références citées). La durée d'au moins trois ans requise se calcule depuis la date du mariage, à condition que la cohabitation ait lieu en Suisse, jusqu'à ce que les époux cessent d'habiter sous le même toit (ATF 136 II 133 consid. 3.2 i.f. et 3.3). La limite des trois ans est absolue et s'applique même s'il ne reste que quelques jours pour atteindre la durée des trente-six mois exigés (voir arrêts 2C_195/2010 du 23 juin 2010, consid. 5.1, 2C_711/2009 du 30 avril 2010, consid. 2.3.1 et 2C_635//2009 du 26 mars 2010, consid. 5.2). La prétendue cohabitation des époux avant le mariage ne peut être prise en compte dans la durée de l'union conjugale (arrêt précité 2C_195/2010, consid. 5.1 i.f.). b) En l'espèce, les époux X.________-Z.________ , qui se sont mariés le 19 août 2011, ont cessé de faire ménage commun quelques mois seulement après, en avril 2012. Des mesures protectrices de l'union conjugale ont été rendues 5 septembre 2012. Aucune reprise de la vie commune n'est intervenue à ce jour. Le recourant ne peut ainsi se prévaloir d'une vie commune en Suisse de plus de trois ans. La première des conditions de l'art. 50 al. 1 let. a LEtr n'étant pas remplie, il n'est pas nécessaire d'examiner, à ce stade, si l'intégration est réussie (ATF 136 II 113 consid. 3.4 p. 120; 2C_488/2010 du 2 novembre 2010 consid. 3.2) . Le recourant ne peut dès lors pas invoquer l'application de l'art. 50 al. 1 let. a LEtr.</w:t>
      </w:r>
    </w:p>
    <w:p>
      <w:r>
        <w:rPr>
          <w:b/>
        </w:rPr>
        <w:t>E. 5</w:t>
      </w:r>
    </w:p>
    <w:p>
      <w:r>
        <w:t>a) L'art. 50 al. 1 let. b LEtr prévoit qu'après dissolution de la famille, le droit du conjoint à l’octroi d’une autorisation de séjour et à sa prolongation subsiste lorsque la poursuite du séjour en Suisse s'impose pour des raisons personnelles majeures. Cette disposition vise à régler les situations qui échappent à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consid. 3.2.1 p. 348; 137 II 1 consid. 4.1 p. 7). C'est la situation personnelle de l'intéressé qui est décisive et non l'intérêt public que revêt une politique migratoire restrictive. Il s’agit d’examiner si l’obligation de l'étranger d'avoir à quitter la Suisse après l'échec du mariage affecte in concreto sa situation personnelle (ATF 138 II 229 consid. 3; ATF 137 II 345 consid. 3.2.1). L'art. 50 al. 2 LEtr – repris à l'art. 77 al. 2 OASA – précise que les raisons personnelles majeures visées à l'al. 1 let. b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l'Etat de provenance (cf. ATF 137 II 345 consid. 3.2.3 et 137 II 1 consid. 4.1; ég. arrêt du Tribunal administratif fédéral C-2934/2010 du 20 novembre 2012 consid. 6.3).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137 II 1, consid. 4.2; 2C_467/2012 du 25 janvier 2013, consid. 2.3).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 TF 2C_1000/2012 du 21 février 2013 consid. 5.2.1). b) En l'espèce, le recourant ne prétend pas avoir été victime de violence conjugale. Il soutient en revanche que sa réintégration dans son pays d'origine serait fortement compromise, en raison de la longue durée de son séjour en Suisse et de son excellente intégration. Certes, le recourant est arrivé en Suisse en 2003, soit il y a onze ans. Il n'y séjourne toutefois légalement que depuis 2010. La longue durée de son séjour dans notre pays doit ainsi être sensiblement relativisée. Selon la jurisprudence, (ATF 130 II 39 consid. 3; ATF 124 II 110 consid. 3), les années vécues en Suisse dans l'illégalité ne sont en effet pas prises en compte dans l'examen d'un cas de rigueur. Quant à l'intégration du recourant, elle n'est pas particulièrement bonne. De décembre 2011 à septembre 2013, il a en effet émargé à l'aide sociale. Ce n'est que depuis le 1 er février 2014 qu'il est au bénéfice d'un contrat de travail de durée indéterminée, pour une activité exercée à 70%, lui procurant un revenu mensuel brut modeste de l'ordre de 2'500 francs. A cela s'ajoute que le recourant, né en 1960, a vécu les 43 premières années de sa vie au Cameroun. Il y a ainsi ses attaches culturelles et familiales. S'y trouvent en particulier ses deux enfants, aujourd'hui majeurs, issus d'une précédente relation. On relève encore que, sur le plan professionnel, le recourant pourra assurément profiter au Cameroun du certificat cantonal d'aptitude qu'il a obtenu dans le domaine de la restauration. Au regard de ces éléments, il n'apparaît pas que la réintégration dans son pays d'origine du recourant serait fortement compromise. Le fait que les conditions d'existence soient plus difficiles dans le pays de provenance, compte tenu d'un niveau de vie différent, n'est pas déterminant au regard de l'art. 50 al. 1 let. b LEtr (ATF 137 II 345 consid. 3.2.3). Le recourant ne peut dès lors pas se prévaloir non plus de l'application de l'art. 50 al. 1 let. b LEtr.</w:t>
      </w:r>
    </w:p>
    <w:p>
      <w:r>
        <w:rPr>
          <w:b/>
        </w:rPr>
        <w:t>E. 6</w:t>
      </w:r>
    </w:p>
    <w:p>
      <w:r>
        <w:t>Les considérants qui précèdent conduisent au rejet du recours et à la confirmation de la décision attaquée. Le recourant, qui succombe, supportera les frais de justice (art. 49 al. 1 LPA-VD).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