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PE.2014.0109 vom 12. August 2014</w:t>
      </w:r>
    </w:p>
    <w:p>
      <w:r>
        <w:t>VD Tribunal cantonal, 2014-08-12, FR</w:t>
      </w:r>
    </w:p>
    <w:p>
      <w:r>
        <w:rPr>
          <w:b/>
        </w:rPr>
        <w:t xml:space="preserve">Quelle: </w:t>
      </w:r>
      <w:r>
        <w:t>https://mcp.opencaselaw.ch/entscheid/vd_omni_PE.2014.0109</w:t>
      </w:r>
    </w:p>
    <w:p>
      <w:r>
        <w:t>FR: VD_OMNI PE.2014.0109 du 12 août 2014</w:t>
      </w:r>
    </w:p>
    <w:p>
      <w:r>
        <w:t>IT: VD_OMNI PE.2014.0109 del 12 agosto 2014</w:t>
      </w:r>
    </w:p>
    <w:p>
      <w:pPr>
        <w:pStyle w:val="Heading2"/>
      </w:pPr>
      <w:r>
        <w:t>Regeste</w:t>
      </w:r>
    </w:p>
    <w:p>
      <w:r>
        <w:t>X._______________ c/Service de l'emploi, Service de la population (SPOP) | Demande de permis de séjour avec activité lucrative déposée en faveur d'un ressortissant du Kosovo pour un poste de plâtrier-peintre. L'employeur n'a pas démontré avoir fait des recherches d'employés suisses ou communautaires par le biais des canaux ordinaires. Les professions liées aux métiers du bâtiment figurent parmi celles qui sont les plus recherchées, il est donc curieux qu'aucun candidat n'ait été trouvé. Par ailleurs, un emploi de plâtrier-peintre ne requiert pas de qualifications spéciales. Recours rejeté.</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Est litigieuse en l'espèce la question de savoir si c'est à bon droit que l'autorité intimée a refusé d'accorder sur demande de la recourante une autorisation de permis de séjour avec activité lucrative en faveur de Y._______________.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A teneur de son art. 2, la LEtr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Il résulte de l’art. 1 er de l’Accord entre la Confédération suisse, d’une part, et la Communauté européenne et ses Etats membres, d’autre part, sur la libre circulation des personnes (ALCP; RS.142.112.681) que l’objectif de cet accord est d’accorder en faveur "des ressortissants" des Etats membres de la Communauté européenne et de la Suisse un droit de séjour, d’entrée, d’accès à une activité économique salariée, d’établissement en tant qu’indépendant et le droit de demeurer sur le territoire des parties contractantes (let a). b) En l'espèce, Y._______________ étant ressortissant du Kosovo, soit d'un Etat tiers, il ne saurait se prévaloir de l’ALCP. Il est par conséquent soumis aux dispositions de la LEtr.</w:t>
      </w:r>
    </w:p>
    <w:p>
      <w:r>
        <w:rPr>
          <w:b/>
        </w:rPr>
        <w:t>E. 3</w:t>
      </w:r>
    </w:p>
    <w:p>
      <w:r>
        <w:t>a) Aux termes de l'art. 18 LEtr, un étranger peut être admis en vue de l'exercice d'une activité lucrative salariée aux conditions suivantes: "a. son admission sert les intérêts économiques du pays; b.  son employeur a déposé une demande; c.  les conditions fixées aux art. 20 à 25 sont remplies." Ces conditions sont cumulatives. Selon le ch. 4.3.1 de la directive de l’Office fédéral des migrations (ODM), dans sa teneur au 1 er décembre 2012 (ci-après la "directive de l’ODM"), lors de l’appréciation du cas, il convient de tenir compte en particulier de la situation sur le marché du travail, de l’évolution économique durable et de la capacité de l’étranger concerné de s’intégrer. Il ne s’agit pas de maintenir une infrastructure avec une main-d’oeuvre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b) L’autorité intimée estime que les conditions posées à l’art. 21 LEtr ne sont pas réunies. Conformément à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S'agissant de l'ordre de priorité au sens de l’art. 21 LEtr, la directive de l’ODM prévoit en particulier ce qui suit: "4.3.2.1 Principe Le recours, en priorité, aux ressources du marché du travail suisse permet d'accroître les chances des travailleurs indigènes en quête d'un emploi et de limiter au maximum l'entrée de nouveaux travailleurs étrangers.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4.3.2.2 Efforts de recherche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Selon la jurisprudence,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PE.2012.0154 du 14 septembre 2012 consid. 5a; PE.2010.423 du 3 décembre 2010 consid. 3a ; PE.2010.0154 du 9 septembre 2010, consid. 3 et PE.2009.0235 du 31 août 2009, consid. 3 et les arrêts cités; cf. également à ce sujet le chiffre 4.3.2 de la directive de l’ODM).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l'ATF 2C_217/2009 précité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 En l’espèce, la recourante prétend qu’il est difficile de trouver un ouvrier ayant le profil de Y._______________, d’autant plus que ce dernier maîtrise bien le français et qu’il est ainsi en mesure de traduire en albanais les instructions à ses collègues. Elle n’apporte cependant aucunement la preuve de recherches d’emplois effectuées par le biais d’annonces dans les journaux ou publiées sur internet. La recourante explique seulement avoir procédé à l’inscription du poste auprès de l’Office régional de placement (ORP) et qu’aucun candidat n’aurait pu être trouvé, ce qui semble curieux car les professions liées aux métiers du bâtiment figurent parmi celles qui sont les plus recherchées par les demandeurs d’emploi. Force est donc de constater que les conditions de l’art. 21 LEtr et de la jurisprudence précitées ne sont pas réalisées, de sorte que c'est à juste titre que l'autorité intimée a refusé de délivrer l’autorisation requise. Pour ce motif déjà, le recours doit être rejeté.</w:t>
      </w:r>
    </w:p>
    <w:p>
      <w:r>
        <w:rPr>
          <w:b/>
        </w:rPr>
        <w:t>E. 4</w:t>
      </w:r>
    </w:p>
    <w:p>
      <w:r>
        <w:t>L'autorité intimée estime également que Y._______________ ne remplit pas les conditions posées à l'art. 23 al. 1 LEtr. a)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Selon le chiffre 4.3.4 de la directive de l'ODM,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b) En l’espèce, Y._______________ a été engagé en qualité de plâtrier-peintre. Si ses qualifications personnelles pour ce poste ne sont pas remises en cause, elles ne correspondent toutefois pas aux exigences de l'art. 23 LEtr. Partant, Y._______________ ne remplit pas les conditions pour exercer une activité lucrative au sens de l'art. 83 al. 1 let. a OASA (cf. dans le même sens, arrêt PE.2011.0455 du 10 mai 2012). Il s'ensuit que, sur ce point également, l'autorité intimée n'a pas abusé de son pouvoir d'appréciation en refusant de délivrer l'autorisation requise.</w:t>
      </w:r>
    </w:p>
    <w:p>
      <w:r>
        <w:rPr>
          <w:b/>
        </w:rPr>
        <w:t>E. 5</w:t>
      </w:r>
    </w:p>
    <w:p>
      <w:r>
        <w:t>Il résulte des considérants qui précèdent que le recours doit être rejeté et la décision de l'autorité intimée maintenue. Vu le sort de la cause, les frais seront mis à la charge de la recourante, qui n'a par ailleurs pas droit à l'octroi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