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PE.2014.0106 vom 20. Januar 2015</w:t>
      </w:r>
    </w:p>
    <w:p>
      <w:r>
        <w:t>VD Tribunal cantonal, 2015-01-20, FR</w:t>
      </w:r>
    </w:p>
    <w:p>
      <w:r>
        <w:rPr>
          <w:b/>
        </w:rPr>
        <w:t xml:space="preserve">Quelle: </w:t>
      </w:r>
      <w:r>
        <w:t>https://mcp.opencaselaw.ch/entscheid/vd_omni_PE.2014.0106</w:t>
      </w:r>
    </w:p>
    <w:p>
      <w:r>
        <w:t>FR: VD_OMNI PE.2014.0106 du 20 janvier 2015</w:t>
      </w:r>
    </w:p>
    <w:p>
      <w:r>
        <w:t>IT: VD_OMNI PE.2014.0106 del 20 gennaio 2015</w:t>
      </w:r>
    </w:p>
    <w:p>
      <w:pPr>
        <w:pStyle w:val="Heading2"/>
      </w:pPr>
      <w:r>
        <w:t>Regeste</w:t>
      </w:r>
    </w:p>
    <w:p>
      <w:r>
        <w:t>X._____________ c/Service de la population (SPOP) | Une ressortissante vietnamienne ayant conclu un mariage fictif avec un ressortissant thaïlandais au bénéfice d'une autorisation d'établissement n'est pas habilitée à se prévaloir des droits conférés par les art. 42 et 50 LEtr. Pas de cas individuel d'extrême gravité au sens de l'art. 30 al. 1 let. b LEtr et de l'art. 31 al. 1 OASA. Recours rejeté et refus de renouveler l'autorisation de séjour prononcé par le SPOP confirmé.</w:t>
      </w:r>
    </w:p>
    <w:p>
      <w:pPr>
        <w:pStyle w:val="Heading2"/>
      </w:pPr>
      <w:r>
        <w:t>Erwägungen</w:t>
      </w:r>
    </w:p>
    <w:p>
      <w:r>
        <w:rPr>
          <w:b/>
        </w:rPr>
        <w:t>E. 1</w:t>
      </w:r>
    </w:p>
    <w:p>
      <w:r>
        <w:t>Interjeté en temps utile (art. 95 de la loi vaudoise du 28 octobre 2008 sur la procédure administrative - LPA-VD; RSV 173.36), le recours satisfait par ailleurs aux autres conditions formelles de recevabilité (cf. en particulier art. 79 al. 1 LPA-VD, applicable par analogie par renvoi de l'art. 99 LPA-VD), de sorte qu'il y a lieu d'entrer en matière sur le fond.</w:t>
      </w:r>
    </w:p>
    <w:p>
      <w:r>
        <w:rPr>
          <w:b/>
        </w:rPr>
        <w:t>E. 2</w:t>
      </w:r>
    </w:p>
    <w:p>
      <w:r>
        <w:t>La recourante a sollicité la tenue d'une audience avec audition de témoins. a) Le droit d’être entendu tel que garanti par l’art. 29 al. 2 de la Constitution fédérale de la Confédération suisse du 18 avril 1999 (Cst.; RS 101)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p. 505; 124 I 49 consid. 3a p. 51 et les réf. cit.). En particulier, le droit de faire administrer les preuves suppose notamment que le fait à prouver soit pertinent et que le moyen de preuve proposé soit apte et nécessaire à prouver ce fait. L’autorité peut donc mettre un terme à l’instruction lorsque les preuves administrées lui ont permis de forger sa conviction et que, procédant d’une manière non arbitraire à une appréciation anticipée des preuves proposées, elle a la certitude qu’elles ne pourraient pas l’amener à modifier sa décision (ATF 130 II 425 consid. 2.1 p. 429 et les réf. citées). b) En l'espèce, le dossier de la cause est suffisamment complet pour permettre au tribunal de statuer en toute connaissance de cause. En particulier, il contient le dossier de l'autorité intimée concernant la recourante. Pour le reste, la recourante a pu faire valoir ses arguments lors de l'échange d'écritures intervenu dans la présente procédure. Il y a dès lors lieu de rejeter sa requête tendant à la tenue d'une audience avec audition de témoins.</w:t>
      </w:r>
    </w:p>
    <w:p>
      <w:r>
        <w:rPr>
          <w:b/>
        </w:rPr>
        <w:t>E. 3</w:t>
      </w:r>
    </w:p>
    <w:p>
      <w:r>
        <w:t>Le litige porte sur le renouvellement de l'autorisation de séjour de la recourante. a) Les ressortissants étrangers ne bénéficient en principe d'aucun droit à l'obtention d'une autorisation de séjour et de travail, sauf s'ils peuvent le déduire d'une norme particulière du droit fédéral ou d'un traité international (ATF 131 II 339 consid. 1 et les références). A teneur de son art. 2 al. 1, la loi fédérale du 16 décembre 2005 sur les étrangers (LEtr; RS 142.20) s'applique aux étrangers dans la mesure où leur statut juridique n'est pas réglé par d'autres dispositions du droit fédéral ou par des traités internationaux conclus par la Suisse. En l'espèce, la recourante étant ressortissante vietnamienne, soit d'un Etat tiers, elle ne saurait se prévaloir de l'accord du 21 juin 1999 entre la Confédération suisse, d'une part, et la Communauté européenne et ses Etats membres, d'autre part, sur la libre circulation des personnes (ALCP; RS 0.142.112.681), ni d'un autre traité. Elle est par conséquent soumise aux dispositions de la LEtr. b) Aux termes de l'art. 42 al. 1 LEtr, le conjoint d’un ressortissant suisse a droit à l’octroi d’une autorisation de séjour et à la prolongation de sa durée de validité à condition de vivre en ménage commun avec lui. En l'occurrence, le mariage de la recourante avec le bénéficiaire d'une autorisation d'établissement a été dissous le 14 janvier 2014 par le Tribunal d'arrondissement de l'Est vaudois. Partant, la recourante ne saurait se prévaloir des droits découlant de l'art. 42 al. 1 LEtr. c) Selon l'art. 50 al. 1 LEtr, après dissolution de la famille, le droit du conjoint et des enfants à l’octroi d’une autorisation de séjour et à la prolongation de sa durée de validité en vertu de l'art. 42 subsiste dans les cas suivants: l’union conjugale a duré au moins trois ans et l’intégration est réussie (let. a); la poursuite du séjour en Suisse s’impose pour des raisons personnelles majeures (let. b). L'art. 51 al. 1 let. a et al. 2 let. a LEtr précise que les droits prévus aux art. 42 et 50 s'éteignent lorsqu'ils sont invoqués abusivement, notamment pour éluder les dispositions de la présente loi sur l'admission et le séjour ou ses dispositions d'exécution. Selon la jurisprudence, est notamment considérée comme abusive l'invocation d'un mariage qui n'a plus de substance et n'existe plus que formellement parce que l'union conjugale est définitivement rompue, faute de chances de réconciliation entre les époux (cf. ATF 130 II 113 consid. 4.2; ATF 128 II 145 consid. 2 et 3). A fortiori, doit également être tenue pour abusive l'invocation d'un mariage fictif, à savoir d'un mariage contracté dans le seul but d'éluder les dispositions de la loi fédérale sur les étrangers, en ce sens que les époux (voire seulement l'un d'eux) n'ont jamais eu la volonté de former une véritable communauté conjugale (cf. ATF 127 II 49 consid. 4a; TF 2C_222/2008 du 31 octobre 2008 consid. 3.3 in fine et 4.3). Dans ce cas en effet, le mariage est dénué de substance dès sa conclusion. Les droits conférés par les art. 42 et 50 LEtr ne sont ainsi pas seulement éteints mais, en réalité, ne sont jamais venus à chef. L'étranger ayant conclu un mariage fictif n'est dès lors pas habilité à invoquer l'art. 50 LEtr pour obtenir le renouvellement de son autorisation de séjour après la dissolution de son "union", cette disposition présupposant une autorisation valablement fondée sur l'art. 42 LEtr (cf. TF 2C_882/2013 du 8 mai 2014 consid. 4.3; TF 2C_540/2013 du 5 décembre 2013 consid. 5.6; TF 2C_462/2013 du 20 mai 2013 consid. 2.2). En l'occurrence, la recourante a reconnu le caractère fictif de son mariage. Elle a d'ailleurs fait l'objet d'une condamnation pénale pour comportement frauduleux dans le domaine du mariage blanc. Il s'ensuit que la recourante n'est pas habilitée à invoquer l'art. 50 LEtr, ce indépendamment des motifs qui l'ont poussée à conclure un mariage de complaisance. Il est dès lors superflu d'examiner si les conditions spécifiques de cette disposition (durée de l'union conjugale, raisons personnelles majeures) sont réalisées. d) La recourante ne peut pas davantage être mise au bénéfice de l'art. 30 al. 1 let. b LEtr, qui permet de déroger aux conditions d'admission dans le but de tenir compte des cas individuels d'une extrême gravité. Cette disposition est concrétisée à l'art. 31 de l'ordonnance du 24 octobre 2007 relative à l’admission, au séjour et à l’exercice d’une activité lucrative (OASA; RS 142.201), dont l'al. 1 impose de tenir compte, lors de l'appréciation,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l'Etat de provenance (let. g). Or, en l’espèce, la recourante a conclu un mariage fictif avec le titulaire d'une autorisation d'établissement, dans le but d'éluder les dispositions sur l'admission et le séjour des étrangers. Elle a de ce fait été condamnée pénalement. Elle était obérée en 2013 et n'a pas établi qu'elle ne serait pas seule à l'origine des dettes en question. La recourante réside en Suisse depuis un peu moins de dix ans, après avoir passé les dix-neuf premières années de sa vie dans son pays d'origine. Elle est âgée de vingt-neuf ans. Rien au dossier n’indique une mauvaise santé. Elle n'a par ailleurs pas d'attaches particulières en Suisse, puisqu'elle n'y a ni enfant ni famille. Elle n’affirme pas non plus y avoir de compagnon. Sur le plan du travail, la recourante n'occupe en outre pas un poste requérant des qualifications particulières. Sous l’angle familial, elle ne prétend pas ne plus avoir de liens avec les membres de sa famille ou des amis vivant au Vietnam, où elle a passé les deux tiers de son existence. Compte tenu de sa situation, un retour de la recourante dans son pays d'origine ne devrait pas lui poser de problèmes insurmontables du point de vue culturel, social et professionnel. Ses assertions, selon lesquelles elle devrait rembourser la somme de 15'000 fr. à sa famille au Vietnam, qui se trouverait dans une situation financière précaire, ne sont pas établies. La recourante ne devrait en outre pas rencontrer plus de difficultés que ses compatriotes pour y trouver du travail, ce d'autant qu'elle semble être au bénéfice d'un titre de formation dont la nullité n'a pas été démontrée. La seule éventualité que les conditions de vie usuelles au Vietnam soient moins avantageuses qu'en Suisse n’est pas déterminante. Partant, la recourante ne se trouve pas dans un cas individuel d'une extrême gravité au sens de l'art. 30 al. 1 let. b LEtr qui imposerait la poursuite de son séjour en Suisse.</w:t>
      </w:r>
    </w:p>
    <w:p>
      <w:r>
        <w:rPr>
          <w:b/>
        </w:rPr>
        <w:t>E. 4</w:t>
      </w:r>
    </w:p>
    <w:p>
      <w:r>
        <w:t>Il résulte des considérants qui précèdent que le recours, mal fondé, doit être rejeté et la décision attaquée confirmée. Il appartiendra au SPOP de fixer un nouveau délai de départ à la recourante. Vu le sort de la cause, un émolument judiciaire est mis à la charge de celle-ci (art. 46 al. 3 et 49 al. 1 LPA-VD). Il n'est pas alloué de dépens (art. 55 al. 1 a contrario, 56 al. 3,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