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PE.2014.0086 vom 5. August 2014</w:t>
      </w:r>
    </w:p>
    <w:p>
      <w:r>
        <w:t>VD Tribunal cantonal, 2014-08-05, FR</w:t>
      </w:r>
    </w:p>
    <w:p>
      <w:r>
        <w:rPr>
          <w:b/>
        </w:rPr>
        <w:t xml:space="preserve">Quelle: </w:t>
      </w:r>
      <w:r>
        <w:t>https://mcp.opencaselaw.ch/entscheid/vd_omni_PE.2014.0086</w:t>
      </w:r>
    </w:p>
    <w:p>
      <w:r>
        <w:t>FR: VD_OMNI PE.2014.0086 du 5 août 2014</w:t>
      </w:r>
    </w:p>
    <w:p>
      <w:r>
        <w:t>IT: VD_OMNI PE.2014.0086 del 5 agosto 2014</w:t>
      </w:r>
    </w:p>
    <w:p>
      <w:pPr>
        <w:pStyle w:val="Heading2"/>
      </w:pPr>
      <w:r>
        <w:t>Regeste</w:t>
      </w:r>
    </w:p>
    <w:p>
      <w:r>
        <w:t>A. X.________ Y.________, B. X.________ Z.________/Service de la population (SPOP) | Ressortissante portugaise arrivée en Suisse en novembre 2012 avec sa fille âgée de 11 ans. La recourante est mise au bénéfice d'une autorisation de séjour UE/AELE "avec activité lucrative". Or, le contrat de travail produit pour l'obtention de ce titre s'est avéré un faux. L'intéressée n'a donc jamais acquis le statut de travailleuse et ne peut prétendre à une autorisation de séjour à ce titre. Emargeant à l'aide sociale, elle ne remplit pas non plus les conditions pour obtenir une autorisation de séjour comme non actif. Elle ne se trouve enfin pas dans une situation constitutive d'un cas d'extrême gravité (bref séjour en Suisse, intégration qui ne sort pas de l'ordinaire, absence d'attaches particulières). Confirmation de la révocation de son autorisation de séjour et celle de sa fille.</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Les recourantes concluent au renouvellement de leurs autorisations de séjour. En réalité, cette conclusion ne concerne qu'A. X.________ Y.________, dont l'autorisation de séjour a été révoquée par l'autorité intimée. B. X.________ Z.________ n'a en effet jamais détenu de titre de séjour en Suisse. C'est ainsi sous l'angle de la délivrance d'un tel titre que le recours de cette dernière sera examiné.</w:t>
      </w:r>
    </w:p>
    <w:p>
      <w:r>
        <w:rPr>
          <w:b/>
        </w:rPr>
        <w:t>E. 3</w:t>
      </w:r>
    </w:p>
    <w:p>
      <w:r>
        <w:t>a) En leur qualité de citoyennes portugaises, les recourantes peuvent se prévaloir de l'Accord conclu le 21 juin 1999 entre la Confédération suisse, d'une part, et la Communauté européenne et ses Etats membres, d'autre part, sur la libre circulation des personnes (ALCP; RS 0.142.112.681) qui confère en principe aux ressortissants suisses et à ceux des Etats membres de l'Union européenne le droit d'entrer sur le territoire d'une autre partie contractante sur simple présentation d'une carte d'identité ou d'un passeport valable (art. 1 let. a et 3 ALCP; art. 1 par. 1 annexe I ALCP). b) Le droit de séjour et d'accès à une activité économique est garanti conformément aux dispositions de l'annexe I de l'ALCP (art. 4 ALCP). Selon l'art. 2 § 1 annexe I ALCP, les ressortissants d’une partie contractante ont le droit de séjourner et d’exercer une activité économique sur le territoire de l’autre partie contractante selon les modalités prévues aux chapitres II à IV. A teneur de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Doit ainsi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arrêt 2C_390/2013 du 10 avril 2014 consid. 3.1 et les références). c) Selon l’art. 2 § 2 de l'annexe I ALCP, les ressortissants des parties contractantes n’exerçant pas d’activités économiques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 1 annexe I ALCP, figurant sous le chapitre V intitulé "Personnes n'exerçant pas une activité économique" , prévoit qu' u 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 financiers suffisants pour ne devoir faire appel à l'aide sociale pendant leur séjour (let. a) et d'une assurance-maladie couvrant l'ensemble des risques (let. b) .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Selon l'art. 16 al. 1 OLCP , tel est le cas si ces moyens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TF, arrêt 2C_574/2010 du 15 novembre 2010 consid. 2.2.2; arrêt PE.2010.0280 du 16 novembre 2011 consid. 7a). Il importe peu, pour apprécier la situation économique du requérant, que ce dernier génère lui-même ses moyens financiers ou que ceux-ci soient procurés par un tiers (ATF 135 II 265 consid. 3.3 p. 269). Il appartient par contre au requérant de démontrer qu'il dispose de moyens d'existence suffisants (TF, arrêt 2C_624/2010 du 8 septembre 2010). d) En l'espèce, la recourante A. X.________ Y.________ a obtenu une autorisation de séjour " avec activité lucrative ". Le contrat de travail produit pour l'obtention de ce titre s'est toutefois avéré un faux, puisque de l'aveu même de cette recourante, l'employeur indiqué n'existait pas. A. X.________ Y.________ n'a dans ces conditions jamais exercé d'activité lucrative en Suisse. Elle n'a ainsi pas acquis le statut de travailleuse au sens de l'art. 6 annexe I ALCP et ne peut prétendre à une autorisation de séjour à ce titre. A. X.________ Y.________ ne remplit par ailleurs pas non plus les conditions de l'art. 24 annexe I ALCP pour obtenir une autorisation de séjour comme non actif. Il ressort en effet des pièces du dossier qu'elle dépend entièrement de l'assistance sociale depuis le mois d'août 2013. Il reste à déterminer si A. X.________ Y.________ et sa fille peuvent, comme elles le soutiennent, prétendre à la délivrance d'une autorisation de séjour sur la base de l'art. 20 de l'ordonnance sur l'introduction de la libre circulation des personnes (OLCP; RS 142.203) .</w:t>
      </w:r>
    </w:p>
    <w:p>
      <w:r>
        <w:rPr>
          <w:b/>
        </w:rPr>
        <w:t>E. 4</w:t>
      </w:r>
    </w:p>
    <w:p>
      <w:r>
        <w:t>a) Aux termes de l'art. 20 OLCP, si les conditions d’admission sans activité lucrative ne sont pas remplies au sens de l’ALCP ou de la Convention instituant l’AELE, une autorisation de séjour UE/AELE peut être délivrée lorsque des motifs importants l’exigent. Cette disposition doit être interprétée par analogie avec les art. 13 let. f et 36 de l’ancienne ordonnance fédérale du 6 octobre 1986 limitant le nombre des étrangers (aOLE) en vigueur jusqu'au 31 décembre 2007 et remplacée par l’art. 31 OASA (v. not. arrêt PE.2011.0427 du 28 mars 2012 consid. 3a et les réf. cit.).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42; 128 II 200 consid. 4 p. 207 s.; arrêts PE.2011.0018 du 5 avril 2011 consid. 4; PE.2010.0286 du 3 septembre 2010 consid. 4). b) En l'espèce, A. X.________ Y.________ est arrivée en Suisse en novembre 2012, soit il y a moins de deux ans. A l'évidence, ce bref séjour n'a pas pu lui faire perdre tous ses repères dans son pays où elle a encore de la famille, notamment ses quatre autres enfants. Quant à son intégration, elle n'a rien d'extraordinaire. Au contraire. Depuis son arrivée en Suisse, elle n'a en effet jamais travaillé et dépend entièrement de l'aide sociale. De plus, elle n'a pas allégué, ni, a fortiori , démontré qu'elle prenait part à la vie associative locale ou participait, ne serait-ce que de manière occasionnelle, à des manifestations de type collectif. Le seul fait qu'elle n'a jamais occupé les services de la police n'est pas décisif. Par ailleurs, depuis sa séparation d'avec son mari, elle n'a plus d'attache particulière en Suisse. Un retour dans son pays d'origine ne devrait dès lors pas poser de problèmes insurmontables. Quant à la situation de B. X.________ Z.________, elle n'est pas de nature non plus à conduire à la reconnaissance d'un cas personnel d'extrême gravité. Certes, cette dernière est scolarisée et semble s'être bien intégrée dans sa classe, comme l'a attesté son enseignante. Il convient toutefois de souligner qu'elle est arrivée en Suisse à un âge relativement avancé (onze ans) et qu'elle réside dans ce pays depuis moins de deux ans. Elle conserve donc indubitablement des liens socioculturels importants avec le Portugal, où elle a été scolarisée jusqu'à son arrivée en Suisse. Un retour dans son pays d'origine, bien que non dépourvu de difficultés, ne devrait dès lors pas constituer pour elle un déracinement. Par ailleurs, le fait qu'en cas de renvoi au Portugal, elle serait séparée de son père n'est pas déterminant. En effet, avant de venir en Suisse, elle avait déjà vécu séparée de son père pendant quatre ans, suite à l'établissement de ce dernier dans notre pays. Au regard de ces éléments, il apparaît que l'autorité intimée n'a pas abusé de son pouvoir d'appréciation en considérant que la situation des recourantes ne constituait pas un cas personnel d'extrême gravité qui justifierait l'octroi d'une autorisation de séjour en application de l'art. 20 OLCP.</w:t>
      </w:r>
    </w:p>
    <w:p>
      <w:r>
        <w:rPr>
          <w:b/>
        </w:rPr>
        <w:t>E. 5</w:t>
      </w:r>
    </w:p>
    <w:p>
      <w:r>
        <w:t>Les considérants qui précèdent conduisent au rejet du recours et à la confirmation de la décision attaquée. a) Compte tenu de leurs ressources, les recourantes ont été mises au bénéfice de l'assistance judiciaire par décision du 13 mars 2014.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Olga Collados Andrade peut être arrêtée, compte tenu de la liste des opérations produite, à 1'948 fr. 25, soit 1'875 fr. d'honoraires et 73 fr. 25 de débours, montant que l'on peut arrondir à 1'950 fr. (il est précisé que la TVA n'a pas été ajoutée, Me Olga Collados Andrade ayant déclaré ne pas y être soumise). b) Les frais de justice, arrêtés à 500 fr. (art. 4 al. 1 5 ème tiret du Tarif du 11 décembre 2007 des frais judiciaires en matière de droit administratif et public – TFJAP; RSV 173.36.5.1), devraient en principe être supportés par les recourantes qui succombent (art. 49 LPA-VD). Toutefois, dès lors que ces dernières ont été mises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les recourantes étant rendues attentives au fait qu'elles sont tenues de rembourser les montants ainsi avancés dès qu'elles seront en mesure de le faire (art. 123 al. 1 CPC, applicable par renvoi de l'art. 18 al. 5 LPA-VD). Il incombe au Service juridique et législatif de fixer les modalités de ce remboursement (art. 5 RAJ). d) Vu l'issue du litige,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