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PE.2014.0084 vom 17. März 2015</w:t>
      </w:r>
    </w:p>
    <w:p>
      <w:r>
        <w:t>VD Tribunal cantonal, 2015-03-17, FR</w:t>
      </w:r>
    </w:p>
    <w:p>
      <w:r>
        <w:rPr>
          <w:b/>
        </w:rPr>
        <w:t xml:space="preserve">Quelle: </w:t>
      </w:r>
      <w:r>
        <w:t>https://mcp.opencaselaw.ch/entscheid/vd_omni_PE.2014.0084</w:t>
      </w:r>
    </w:p>
    <w:p>
      <w:r>
        <w:t>FR: VD_OMNI PE.2014.0084 du 17 mars 2015</w:t>
      </w:r>
    </w:p>
    <w:p>
      <w:r>
        <w:t>IT: VD_OMNI PE.2014.0084 del 17 marzo 2015</w:t>
      </w:r>
    </w:p>
    <w:p>
      <w:pPr>
        <w:pStyle w:val="Heading2"/>
      </w:pPr>
      <w:r>
        <w:t>Regeste</w:t>
      </w:r>
    </w:p>
    <w:p>
      <w:r>
        <w:t>X.______________, Y.______________, Z.______________, A.______________ c/Service de la population (SPOP) | Confirmation du refus du SPOP de délivrer des autorisations de séjour par regroupement familial à l'épouse et aux trois enfants cadets d'un ressortissant kosovar établi en Suisse : demande tardive et absence de raisons familiales majeures justifiant les regroupements familiaux requis.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recourante conclut, en son nom et au nom de ses trois enfants cadets, au regroupement familial auprès de son mari et père de ses enfants. a) L'art. 43 LEtr régit le regroupement familial des titulaires d'une autorisation d'établissement, en ce sens que le conjoint étranger de ce dernier ainsi que ses enfants célibataires étrangers de moins de 18 ans ont droit à l'octroi d'une autorisation de séjour et à la prolongation de sa durée de validité, à condition de vivre en ménage commun avec lui (al. 1). Aux termes de l'art. 47 al. 1 LEtr, ce regroupement doit être demandé dans les cinq ans, mais ce délai est réduit à douze mois pour les enfants de plus de douze ans. Selon l'art. 47 al. 3 let. b Letr, les délais commencent à courir, pour les membres de la famille d’étrangers, lors de l’octroi de l’autorisation de séjour ou d’établissement ou lors de l’établissement du lien familial. Selon les dispositions transitoires de l'art. 126 al. 3 LEtr, les délais prévus à l'art. 47 al. 1 LEtr commencent à courir à l'entrée en vigueur de la loi sur les étrangers, soit le 1 er janvier 2008, dans la mesure où l'entrée en Suisse ou l'établissement du lien familial sont antérieurs à cette date. Passé le délai prévu par l'art. 47 al. 1 LEtr, le regroupement familial différé n'est autorisé que pour des raisons familiales majeures (art. 47 al. 4, 1 ère phrase, LEtr). L'idée du législateur, en introduisant des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(voir FF 2002 p. 3511, ch. 1.3.7.7). b) En l’espèce, l’époux de la recourante séjourne en Suisse au bénéfice d’un permis d’établissement depuis le 29 novembre 2006. Conformément à l’art. 126 al. 3 LEtr, le délai de cinq ans pour demander le regroupement familial a ainsi commencé à courir dès l'entrée en vigueur de la LEtr, à savoir le 1 er janvier 2008. Il était dès lors déjà échu lors du dépôt des demandes de regroupement familial le 3 octobre 2013. Les délais de l'art. 47 LEtr étant échus, seule l'existence de raisons personnelles majeures au sens de l'art. 47 al. 4 LEtr pourrait justifier le regroupement familial sollicité.</w:t>
      </w:r>
    </w:p>
    <w:p>
      <w:r>
        <w:rPr>
          <w:b/>
        </w:rPr>
        <w:t>E. 3</w:t>
      </w:r>
    </w:p>
    <w:p>
      <w:r>
        <w:t>a) Les raisons familiales au sens de l’art. 47 al. 4 LEtr peuvent être invoquées, selon l’art. 75 de l’ordonnance du 24 octobre 2007 relative à l’admission, au séjour et à l’exercice d’une activité lucrative (OASA; RS 142.201), lorsque le bien de l’enfant ne peut être garanti que par un regroupement familial en Suisse. Contrairement à la lettre de cette disposition, la jurisprudence retient toutefois qu'il ne faut pas se fonder exclusivement sur le bien de l'enfant mais tenir compte, dans une appréciation globale, de l'ensemble des éléments pertinents du cas d'espèce. Toujours selon la jurisprudence, l'octroi d'une autorisation pour regroupement familial après l'échéance des délais ordinaires doit, conformément à la volonté du législateur, rester l'exception (ATF 2C_174/2012 du 22 octobre 2012 consid. 4.1; 2C_780/2012 du 3 septembre 2012 consid. 2.2; 2C_687/2010 du 4 avril 2011 consid 4.1 in fine ; 2C_709/2010 du 25 février 2011 consid. 5.1.1 et les références citées). Il ressort ainsi des directives " Domaine des étrangers " de l'Office fédéral des migrations (ODM) que, dans l'intérêt d'une bonne intégration, il ne sera fait usage de l'art. 47 al. 4 LEtr qu'avec retenue (voir ch. 6.9.4; état au 25 octobre 2013). Examinant les conditions applicables au regroupement familial partiel, le Tribunal fédéral a jugé que le nouveau droit ne permettait plus de justifier l'application des conditions restrictives posées à cet égard par la jurisprudence si la demande avait été déposée dans les délais de l'art. 47 al. 1 LEtr. Il a précisé en revanche que ces conditions pouvaient jouer un rôle en relation avec les " raisons familiales majeures " au sens de l'art. 47 al. 4 LEtr, laissant ainsi subsister, en pareille hypothèse, les principes développés sous l'ancien droit (ATF 137 II 393 consid. 4.1 non publié; ATF 136 II 78 précité, consid. 4.7). Il en résulte que le regroupement familial différé est soumis à des conditions strictes. La reconnaissance d'un droit au regroupement familial suppose qu'un changement important des circonstances, notamment d'ordre familial, se soit produit, telle une modification des possibilités de prise en charge de l'enfant à l'étranger; dans la pratique récente, le critère de la relation familiale prépondérante n'est plus déterminant (ATF 2C_526/2009 du 14 mai 2010 consid. 5.1 et la référence), en ce sens que, même lorsqu'une telle relation familiale prépondérante entre l'enfant et son parent établi en Suisse est maintenue, il convient de procéder à un examen de l'ensemble des circonstances, en particulier lorsque la demande de regroupement familial intervient après de nombreuses années de séparation (arrêt PE.2008.0359 du 21 octobre 2010 consid. 3b et les références). Lorsque le regroupement familial est demandé en raison de changements importants des circonstances à l'étranger, les adaptations nécessaires devraient en principe, dans la mesure du possible, être d'abord réglées par les voies du droit civil. Il faut toutefois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Le cas échéant, il y a lieu d'examiner s'il existe dans le pays d'origine des alternatives, s'agissant de la prise en charge de l'enfant, qui correspondent mieux à ses besoins spécifiques et à ses possibilités. L'opportunité d'un tel examen concerne particulièrement les enfants près d'entrer ou entrés dans l'adolescence qui ont toujours vécu dans leur pays d'origine, et pour lesquels une émigration vers la Suisse pourrait être ressentie comme un déracinement difficile à surmonter et devrait donc, autant que possible, être évitée. Cela étant, ces principes ne doivent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précité consid. 3.1.2 et les références).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sérieuses et résultent clairement des circonstances de l'espèce (ATF 133 II 6 précité consid. 3.3 et les références).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Le regroupement familial partiel suppose également de tenir compte de l'intérêt supérieur de l'enfant, comme l'exige l'art. 3 par. 1 de la convention du 20 novembre 1989 relative aux droits de l'enfant (CDE; RS 0.107). b) En l’espèce, il apparaît que les époux XB.________________ ont vécu de manière séparée durant seize ans, la recourante étant restée au Kosovo avec les six enfants du couple. Cette dernière expose que son mari a soutenu financièrement la famille durant toutes ces années et qu’il entretenait des contacts avec elle et ses enfants, les trois cadets étant nés après la venue en Suisse de leur père. Le critère de la relation familiale prépondérante n'est toutefois plus déterminant selon la jurisprudence rappelée ci-dessus et ne saurait justifier à lui seul un regroupement familial différé. La famille a certes un intérêt privé important à pouvoir vivre ensemble en Suisse, B.________________ y étant installé depuis de nombreuses années. Cela étant,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ATF 2C_553/2011 du 4 novembre 2011 consid. 2.1 et les références citées). Il convient dès lors de procéder à un examen de l'ensemble des circonstances. On relève à cet égard que les trois enfants cadets n’ont jamais vécu auprès de leur père, ils ont toujours habité au Kosovo, jusqu’à leur arrivée en Suisse il y a un peu plus d’une année, avec leur mère et leurs trois frères et sœurs aînés. Il apparaît donc que B.________________ a choisi de vivre séparé de sa famille en Suisse pendant plus de seize ans. Ce n'est qu'à l'approche de la majorité de sa fille Y.________________ et en se remémorant que ses trois enfants aînés s’étaient eux aussi vus refuser la délivrance d’une autorisation de séjour, qu'il a sollicité le regroupement familial en faveur de ses trois enfants cadets et de son épouse, qui se trouvaient de surcroît dans une situation économique précaire, comme l’a admis la recourante. La venue en Suisse de la recourante et de ses trois enfants cadets a ainsi été dictée par des motifs d’ordre économiques suite à la précarité dans laquelle ils vivaient dans leur pays d’origine depuis que leur époux, respectivement père, n’a plus pu subvenir à leurs besoins compte tenu du fait qu’il ne pouvait plus travailler en raison de problèmes de santé. Or, force est de constater que l’état de santé de l’époux de la recourante se serait amélioré, puisqu’il a retrouvé un emploi, à un taux d’activité de 90 %, au sein de l’entreprise de son beau-frère. Partant, le salaire mensuel net que perçoit le mari de la recourante, à savoir en moyenne 3'187 fr. (loyer de l’appartement déduit), lui permet d’assurer à nouveau l’entretien de l’ensemble de la famille si son épouse et leurs trois enfants cadets retournent vivre au Kosovo, où ils y ont tissé des attaches familiales, sociales et culturelles importantes ; ce qui ne peut nullement être le cas s’ils restent en Suisse, étant donné que le revenu de l’époux de la recourante n’est pas suffisant pour assurer l’entretien de cinq personnes. Au regard de ces éléments, le SPOP n'a pas abusé de son pouvoir d'appréciation en concluant à l'absence de raisons familiales majeures au sens de l'art. 47 al. 4 LEtr.</w:t>
      </w:r>
    </w:p>
    <w:p>
      <w:r>
        <w:rPr>
          <w:b/>
        </w:rPr>
        <w:t>E. 4</w:t>
      </w:r>
    </w:p>
    <w:p>
      <w:r>
        <w:t>Le recours doit ainsi être rejeté et la décision attaquée maintenue.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