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PE.2014.0075 vom 4. März 2014</w:t>
      </w:r>
    </w:p>
    <w:p>
      <w:r>
        <w:t>VD Tribunal cantonal, 2014-03-04, FR</w:t>
      </w:r>
    </w:p>
    <w:p>
      <w:r>
        <w:rPr>
          <w:b/>
        </w:rPr>
        <w:t xml:space="preserve">Quelle: </w:t>
      </w:r>
      <w:r>
        <w:t>https://mcp.opencaselaw.ch/entscheid/vd_omni_PE.2014.0075</w:t>
      </w:r>
    </w:p>
    <w:p>
      <w:r>
        <w:t>FR: VD_OMNI PE.2014.0075 du 4 mars 2014</w:t>
      </w:r>
    </w:p>
    <w:p>
      <w:r>
        <w:t>IT: VD_OMNI PE.2014.0075 del 4 marzo 2014</w:t>
      </w:r>
    </w:p>
    <w:p>
      <w:pPr>
        <w:pStyle w:val="Heading2"/>
      </w:pPr>
      <w:r>
        <w:t>Regeste</w:t>
      </w:r>
    </w:p>
    <w:p>
      <w:r>
        <w:t>A. X.________/Service de la population (SPOP) | Décision de renvoi d'une ressortissante marocaine confirmée: l'intéressée est dépourvue de titre de séjour; elle ne se prévaut pour le surplus ni de l'art. 3 CEDH, ni de l'art. 83 LEtr. Recours manifestement mal fondé.</w:t>
      </w:r>
    </w:p>
    <w:p>
      <w:pPr>
        <w:pStyle w:val="Heading2"/>
      </w:pPr>
      <w:r>
        <w:t>Erwägungen</w:t>
      </w:r>
    </w:p>
    <w:p>
      <w:r>
        <w:rPr>
          <w:b/>
        </w:rPr>
        <w:t>E. 1</w:t>
      </w:r>
    </w:p>
    <w:p>
      <w:r>
        <w:t>a) La décision litigieuse a été rendue en application de l'art. 64 de la loi fédérale du 16 décembre 2005 sur les étrangers (LEtr; RS 142.20), dans sa teneur en vigueur depuis le 1 er janvier 2011. Cette disposition prévoit une procédure particulière en cas de décision de renvoi ordinaire: une telle décision peut faire l'objet d'un recours dans un délai de cinq jours ouvrables, recours qui n'a pas d'effet suspensif. b) En l'espèce, le recours a été déposé en temps utile. Il respecte pour le surplus les conditions formelles énoncées à l’art. 79 LPA-VD.</w:t>
      </w:r>
    </w:p>
    <w:p>
      <w:r>
        <w:rPr>
          <w:b/>
        </w:rPr>
        <w:t>E. 2</w:t>
      </w:r>
    </w:p>
    <w:p>
      <w:r>
        <w:t>a) Aux termes de l'art. 64 al. 1 LEtr, les autorités compétentes rendent une décision de renvoi ordinaire à l'encontre d'un étranger qui n'a pas d'autorisation alors qu'il y est tenu (let. a), d'un étranger qui ne remplit pas ou ne remplit plus les conditions d'entrée en Suisse (art. 5 LEtr) (let. b) et d'un étranger auquel une autorisation est refusée ou dont l'autorisation, bien que requise, est révoquée ou n'est pas prolongée après un séjour autorisé (let. c). b) En l'espèce, la recourante ne conteste pas qu'elle ne dispose d'aucun visa ni d'aucune autorisation de séjour valable en Suisse. Elle ne se prévaut par ailleurs pas du principe de non-refoulement consacré notamment par l'art. 3 de la Convention du 4 novembre 1950 de sauvegarde des droits de l’homme et des libertés fondamentales (CEDH; RS 0.101). Elle n'invoque pas davantage l'art. 83 LEtr pour s'opposer à l'exécution du renvoi pour le motif que celle-ci ne serait pas possible, pas licite ou ne pourrait être raisonnablement exigée. La recourante fait valoir en fait pour seul motif son besoin de rester en Suisse compte tenu de la procédure pénale pendante. Selon la jurisprudence, l'existence d'une procédure judiciaire en cours ne justifie toutefois pas une présence permanente de l'étranger, dès lors que celui-ci peut se faire représenter ou bénéficier d'autorisations ponctuelles d'entrée dans le pays dans ce cadre (arrêt PE.2013.0147 du 10 juin 2013, avec les références citées). Le SPOP était ainsi fondé au regard de l'art. 64 al. 1 LEtr à rendre une décision de renvoi.</w:t>
      </w:r>
    </w:p>
    <w:p>
      <w:r>
        <w:rPr>
          <w:b/>
        </w:rPr>
        <w:t>E. 3</w:t>
      </w:r>
    </w:p>
    <w:p>
      <w:r>
        <w:t>Manifestement mal fondé, le recours doit être rejeté. Vu les circonstances, il est renoncé à percevoir un émolument judiciaire (art. 50 LPA-VD). Il n'y a pas matière à 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