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PE.2014.0062 vom 2. Dezember 2014</w:t>
      </w:r>
    </w:p>
    <w:p>
      <w:r>
        <w:t>VD Tribunal cantonal, 2014-12-02, FR</w:t>
      </w:r>
    </w:p>
    <w:p>
      <w:r>
        <w:rPr>
          <w:b/>
        </w:rPr>
        <w:t xml:space="preserve">Quelle: </w:t>
      </w:r>
      <w:r>
        <w:t>https://mcp.opencaselaw.ch/entscheid/vd_omni_PE.2014.0062</w:t>
      </w:r>
    </w:p>
    <w:p>
      <w:r>
        <w:t>FR: VD_OMNI PE.2014.0062 du 2 décembre 2014</w:t>
      </w:r>
    </w:p>
    <w:p>
      <w:r>
        <w:t>IT: VD_OMNI PE.2014.0062 del 2 dicembre 2014</w:t>
      </w:r>
    </w:p>
    <w:p>
      <w:pPr>
        <w:pStyle w:val="Heading2"/>
      </w:pPr>
      <w:r>
        <w:t>Regeste</w:t>
      </w:r>
    </w:p>
    <w:p>
      <w:r>
        <w:t>A. X.________ Y.________ Z.________/Service de la population (SPOP) | Ressortissante portugaise, la recourante a alterné les périodes de travail et de désoccupation. Sans emploi depuis vingt mois, elle a contracté une dette envers l'assistance publique de près de 60'000 francs. La recourante a perdu le statut de travailleur et ne peut invoquer aucune disposition de l'ALCP pour s'opposer au non-renouvellement de son autorisation de séjour. Bien qu'elle vive en Suisse depuis quatorze ans, sa réintégration sociale dans son pays d'origine paraît loin d'être compromise, de sorte qu'elle ne constitue pas un cas de rigueur justifiant la poursuite de son séjour. Recours au TF admis et arrêt annulé par ATF 2C_1162/2014 du 8 décembre 2015.</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a) La Suisse et le Portugal sont parties à l'accord du 21 juin 1999 entre, d'une part, la Confédération suisse, et, d'autre part, la Communauté européenne et ses Etats membres sur la libre circulation des personnes (ALCP; RS 0.142.112.681), lequel est entré en vigueur le 1 er juin 2002. Ce dernier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L’accord ne préjuge pas des dispositions nationales plus favorables qui puissent exister aussi bien pour les ressortissants des parties contractantes que pour les membres de leur famille (art. 12 ALCP). b)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 à titre subsidiaire, à savoir seulement lorsque la LEtr prévoit un statut juridique plus favorable et dans la mesure où I‘ALCP et ses protocoles n‘en disposent pas autrement (art. 2 LEtr et Message relatif à l‘approbation des accords sectoriels entre la Suisse et la Communauté européenne , in FF 1999 p. 5440 et ss).</w:t>
      </w:r>
    </w:p>
    <w:p>
      <w:r>
        <w:rPr>
          <w:b/>
        </w:rPr>
        <w:t>E. 3</w:t>
      </w:r>
    </w:p>
    <w:p>
      <w:r>
        <w:t>Il importe en premier lieu d’examiner si la recourante, ressortissante portugaise, peut déduire des dispositions conventionnelles un droit de demeurer en Suisse. On rappelle à cet égard que les travailleurs salariés, les indépendants et les prestataires de service ont le droit de séjourner et d'exercer une activité économique selon les modalités prévues aux chapitres II à IV de l'annexe I ALCP (art. 2 par. 1 al. 1 Annexe I ALCP). Le droit de séjour sur le territoire d'une partie contractante est également garanti aux personnes n'exerçant pas d'activité économique selon les dispositions de l'Annexe I ALCP relatives aux non actifs (art. 6 ALCP). Les autorisations de séjour de courte durée, de séjour et frontalières UE/AELE peuvent être révoquées ou ne pas être prolongées, si les conditions requises pour leur délivrance ne sont plus remplies (art. 23 de l'ordonnance fédérale sur l'introduction progressive de la libre circulation des personnes entre, d'une part, la Confédération suisse et, d'autre part, l'Union européenne et ses États membres, ainsi qu'entre les Etats membres de l'Association européenne de libre-échange, du 22 mai 2002 [ OLCP; RS 142.203 ] ). a) Le droit au regroupement familial invoqué par le ressortissant d’un Etat contractant est réglé en premier lieu par l'art. 3 par. 1 Annexe I ALCP, qui prévoit notamment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le par. 2 de cette disposition, sont considérés comme membres de la famille, quelle que soit leur nationalité, son conjoint et leurs descendants de moins de 21 ans ou à charge (let. a). b)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22 OLCP se borne à indiquer, à ce propos, que les ressortissants de la CE ou les membres de leur famille qui ont le droit de demeurer en Suisse, reçoivent une autorisation CE/AELE.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 jurisprudence de la Cour de justice de l'Union européenne (ci-après: CJCE), doit ainsi être considérée comme un travailleur la personne qui accomplit, pendant un certain temps, en faveur d'une autre personne et sous la direction de celle-ci, des prestations en contrepartie desquelles elle touche une rémunération (arrêts Brian Francis Collins du 23 mars 2004 C-138/02, Rec. 2004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C-544/11,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Caves Krier Frères Sàrl du 13 décembre 2012 C-379/11,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(arrêts Brian Francis Collins, précité, point 37, Commission CE du 20 février 1997 C-344/95, Rec. 1997 I-1035 point 17 et Antonissen du 26 février 1991 C-292/89, Rec. 1991 p. I-779 point 22). A ce propos, le Tribunal fédéral considère que, sous réserve d'une situation d'abus de droit où un ressortissant communautaire se rendrait dans un autre Etat membre pour y exercer un travail fictif ou d'une durée extrêmement limitée dans le but de bénéficier de certaines aides ( ATF 131 II 339 consid.</w:t>
      </w:r>
    </w:p>
    <w:p>
      <w:r>
        <w:rPr>
          <w:b/>
        </w:rPr>
        <w:t>E. 3.4</w:t>
      </w:r>
    </w:p>
    <w:p>
      <w:r>
        <w:t>p. 347).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dix-huit mois - mois durant lesquels la personne était restée inactive et avait touché des indemnités de chômage puis des prestations d'assistance - perdait le statut de travailleur (RtiD 2012 I p. 152 consid. 4.3, ATF 2C_967/2010 du 17 juin 2011).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(ATF 2C_390/2013 précité consid. 4.3). La recherche réelle d'un emploi suppose ainsi que l'intéressé apporte la preuve qu'il continue à en chercher un et qu'il a des chances véritables d'être engagé, sinon il n'est pas exclu qu'il soit contraint de quitter le pays d'accueil après six mois (ibid., consid. 3.1 et les références). c) L'art. 2 par. 1 al. 2 Annexe I ALCP confère aux ressortissants des parties contractantes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Le par.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Ce droit est constaté par la délivrance d'un titre de séjour. Aux termes de l'art. 24 par. 1 let. a Annexe I ALCP,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précité).</w:t>
      </w:r>
    </w:p>
    <w:p>
      <w:r>
        <w:rPr>
          <w:b/>
        </w:rPr>
        <w:t>E. 4</w:t>
      </w:r>
    </w:p>
    <w:p>
      <w:r>
        <w:t>a) A titre préliminaire, on relève que la recourante séjournait déjà depuis plusieurs années en Suisse lorsqu’une autorisation de séjour a été délivrée en sa faveur le 14 juillet 2000. Elle n’est cependant pas fondée à se prévaloir de ces séjours illégaux à l’appui de ses conclusions, ceci d’autant moins qu’elle a fait l’objet de deux IES (dans ce sens, arrêts PE.2009.0361 du 23 octobre 2009; PE.2007.0519 du 24 septembre 2008). Ressortissante communautaire, la recourante a obtenu en 2000 une autorisation de séjour au bénéfice du regroupement familial, alors que l’ALCP n’était pas encore entré en vigueur. Elle a obtenu en 2002 une autorisation UE/AELE de cinq ans, renouvelée en 2007 pour une nouvelle période de cinq ans Depuis octobre 2009, la recourante vit séparée durablement de son mari. Cela étant, la poursuite de son séjour en Suisse ne dépend plus de sa situation familiale, mais exclusivement de son statut personnel actuel au regard de l’ALCP. b) La recourante avait acquis le statut de travailleur lors de l’entrée en vigueur de l’ALCP, conformément à l’art.</w:t>
      </w:r>
    </w:p>
    <w:p>
      <w:r>
        <w:rPr>
          <w:b/>
        </w:rPr>
        <w:t>E. 6</w:t>
      </w:r>
    </w:p>
    <w:p>
      <w:r>
        <w:t>Les considérants qui précèdent conduisent ainsi au rejet du recours et à la confirmation de la décision attaquée. Les frais de justice, arrêtés à 500 fr. (art. 4 al. 1 5 ème tiret et 8 du Tarif du</w:t>
      </w:r>
    </w:p>
    <w:p>
      <w:r>
        <w:rPr>
          <w:b/>
        </w:rPr>
        <w:t>E. 11</w:t>
      </w:r>
    </w:p>
    <w:p>
      <w:r>
        <w:t>décembre 2007 des frais judiciaires en matière de droit administratif et public [ TFJAP; RSV 173.36.5.1 ] ), sont mis à la charge de la recourante, celle-ci succombant (art. 49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