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PE.2014.0047 vom 11. Juni 2014</w:t>
      </w:r>
    </w:p>
    <w:p>
      <w:r>
        <w:t>VD Tribunal cantonal, 2014-06-11, FR</w:t>
      </w:r>
    </w:p>
    <w:p>
      <w:r>
        <w:rPr>
          <w:b/>
        </w:rPr>
        <w:t xml:space="preserve">Quelle: </w:t>
      </w:r>
      <w:r>
        <w:t>https://mcp.opencaselaw.ch/entscheid/vd_omni_PE.2014.0047</w:t>
      </w:r>
    </w:p>
    <w:p>
      <w:r>
        <w:t>FR: VD_OMNI PE.2014.0047 du 11 juin 2014</w:t>
      </w:r>
    </w:p>
    <w:p>
      <w:r>
        <w:t>IT: VD_OMNI PE.2014.0047 del 11 giugno 2014</w:t>
      </w:r>
    </w:p>
    <w:p>
      <w:pPr>
        <w:pStyle w:val="Heading2"/>
      </w:pPr>
      <w:r>
        <w:t>Regeste</w:t>
      </w:r>
    </w:p>
    <w:p>
      <w:r>
        <w:t>A. X.________, B. Y.________-X.________/Service de la population (SPOP) | Confirmation du refus de délivrer des autorisations de séjour par regroupement familial différé aux quatre enfants d'un ressortissant kosovar établi en Suisse. Pas de raisons familiales majeures: en particulier, les problèmes de santé des grands-parents, auprès desquels les recourants vivent, ne constituent pas une changement de circonstances important imposant la venue des intéressés en Suisse.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Il ne comprend toutefois pas le droit d’être entendu oralement, ni celui d’obtenir l’audition de témoins (ATF 130 II 425 consid. 2.1 p. 428 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les recourants requièrent d'être entendus afin d'expliquer concrètement l'organisation qui sera prévue en lien avec l'accueil des enfants. Ils sollicitent également que le frère du recourant soit entendu en qualité de témoin afin qu'il puisse donner des précisions sur l'aide qu'il pourra apporter à l'accueil de ses neveux. Il n'y a pas lieu de donner suite à ces réquisitions de preuve. Les recourants ont en effet déjà pu largement s'exprimer par écrit. De plus, les éléments sur lesquels ils souhaitent être entendus (et faire entendre le témoin) ne sont pas déterminants sur le sort du litige comme on le verra ci-après (voir infra consid. 4b).</w:t>
      </w:r>
    </w:p>
    <w:p>
      <w:r>
        <w:rPr>
          <w:b/>
        </w:rPr>
        <w:t>E. 3</w:t>
      </w:r>
    </w:p>
    <w:p>
      <w:r>
        <w:t>a) Le regroupement familial est régi par les art. 42 ss de la loi fédérale du 16 décembre 2005 sur les étrangers (LEtr; RS 142.20).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2C_537/2009 du 31 mars 2010 consid. 2.2.2). Ainsi, lorsque, comme en l'espèce, le recourant est titulaire d'une autorisation d'établissement alors que son épouse est Suissesse, c'est sous l'angle de l'art. 43 LEtr que le regroupement familial doit être envisagé. Cette disposition prévoit que le conjoint étranger de ce dernier ainsi que ses enfants célibataires étrangers de moins de 18 ans ont droit à l'octroi d'une autorisation de séjour et à la prolongation de sa durée de validité, à condition de vivre en ménage commun avec lui (al. 1). La LEtr a introduit des délais pour requérir le regroupement familial. A teneur de l'art. 47 LEtr, le regroupement familial doit être demandé dans les cinq ans; pour les enfants de plus de 12 ans, le regroupement doit intervenir dans un délai de douze mois (al. 1). S'agissant des membres de la famille d'étrangers, le délai commence à courir lors de l'octroi de l'autorisation de séjour ou d'établissement, ou lors de l'établissement du lien familial (art. 47 al. 3 let. b LEtr).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Passé le délai prévu par l'art. 47 al. 1 LEtr, le regroupement familial différé n'est autorisé que pour des raisons familiales majeures (art. 47 al. 4, 1 ère phrase, LEtr).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(voir FF 2002 p. 3511, ch. 1.3.7.7). b) En l'espèce, le recourant séjourne en Suisse au bénéfice d'un titre de séjour depuis le 20 juillet 2007. Conformément à l'art. 126 al. 3 LEtr, le délai de cinq ans pour demander le regroupement familial a ainsi commencé à courir dès l'entrée en vigueur de la LEtr, à savoir le 1 er janvier 2008. Il était dès lors déjà échu lors du dépôt des demandes de regroupement familial le 23 mai 2013. Dans ses écritures, le recourant expose que c'est sur conseil des autorités communales de 3******** qu'il a décidé d'attendre avant de solliciter le regroupement familial, le temps pour lui d'établir parfaitement sa situation en Suisse. Il se prévaut en d'autres termes de son droit à la protection de la bonne foi garanti par l'art. 9 de la Constitution fédérale de la Confédération suisse du 18 avril 1999 (Cst.; RS 101). Interpellé sur les allégations du recourant, le Contrôle des habitants de la Commune de 3******** a reconnu que l'intéressé s'était présenté à plusieurs reprises au guichet afin d'obtenir des renseignements sur les démarches à accomplir pour faire venir ses enfants en Suisse. Il a en revanche fermement contesté lui avoir conseillé d'attendre que sa situation professionnelle soit stabilisée avant de demander le regroupement familial. Les allégations du recourant, qui ne sont corroborées par aucun autre élément, doivent dès lors être tenues pour non établies, ce qui conduit au rejet du grief tiré du droit à la protection de la bonne foi. Les délais de l'art. 47 LEtr étant échus, seule l'existence de raisons personnelles majeures au sens de l'art. 47 al. 4 LEtr pourrait justifier le regroupement familial sollicité.</w:t>
      </w:r>
    </w:p>
    <w:p>
      <w:r>
        <w:rPr>
          <w:b/>
        </w:rPr>
        <w:t>E. 4</w:t>
      </w:r>
    </w:p>
    <w:p>
      <w:r>
        <w:t>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Toujours selon la jurisprudence, l'octroi d'une autorisation pour regroupement familial après l'échéance des délais ordinaire doit, conformément à la volonté du législateur, rester l'exception (ATF 2C_174/2012 du 22 octobre 2012 consid. 4.1; 2C_780/2012 du 3 septembre 2012 consid. 2.2; 2C_687/2010 du 4 avril 2011 consid 4.1 in fine ; 2C_709/2010 du 25 février 2011 consid. 5.1.1 et les références citées). Il ressort ainsi des directives " Domaine des étrangers " de l'Office fédéral des migrations (ODM) que, dans l'intérêt d'une bonne intégration, il ne sera fait usage de l'art. 47 al. 4 LEtr qu'avec retenue (voir ch. 6.9.4; état au 25 octobre 2013).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Il a précisé en revanche que ces conditions pouvaient jouer un rôle en relation avec les " raisons familiales majeures " au sens de l'art. 47 al. 4 LEtr, laissant ainsi subsister, en pareille hypothèse, les principes développés sous l'ancien droit (ATF 137 II 393 consid. 4.1 non publié;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(ATF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b) En l'espèce, les recourants invoquent comme changement de circonstances le fait que les grands-parents paternels, vu leur âge et leur état de santé, ne sont plus en mesure de s'occuper de leurs petits-enfants. Ils ont produit à cet égard plusieurs certificats médicaux. Il en ressort que le grand-père souffre de phlébothrombose et la grand-mère de périarthrite. Sans minimiser la portée de ce genre d'affections, celles-ci n'apparaissent pas de nature à empêcher les grands-parents d'assumer la prise en charge éducative de leurs petits-enfants. On relève par ailleurs que ces derniers, âgés de 9, 10, 13 et 15 ans, sont tous scolarisés et que les deux aînés sont en voie d'acquérir une autonomie croissante. Le rôle des grands-parents peut ainsi se limiter à une présence, à un entourage affectif et à une certaine surveillance. On souligne en outre que sous l'angle de l'ancienne loi fédérale du 26 mars 1931 sur le séjour et l'établissement des étrangers (LSEE), la jurisprudence relevait que si l'avancée en âge des grands-parents auxquels l'enfant avait été confié pouvait les empêcher dans nombre de cas de poursuivre cette tâche, ces difficultés n'avaient pu qu'être envisagées et acceptées par le parent qui avait décidé – malgré les limites temporelles prévisibles d'une telle solution – de laisser son enfant à la garde des grands-parents. Celui qui entendait s'installer dans un autre pays devait en principe assumer les conséquences qui en résultaient sur les liens familiaux ( ATF 129 II 11 consid. 3.4; ég. arrêt PE.2011.0426 du 26 novembre 2012 consid. 5d). Les recourants invoquent comme autre changement le départ de la mère pour la Hongrie en janvier 2014. Il ressort toutefois du dossier et des déclarations des recourants eux-mêmes que cette dernière ne voyait les enfants que quelques heures par semaines et qu'elle ne s'était jamais véritablement impliquée dans l'éducation des enfants. Son départ pour l'étranger ne constitue ainsi pas un changement important dans la prise en charge des enfants qui justifierait un regroupement familial différé. Le recourant fait valoir également que malgré la distance, il est resté la figure parentale prépondérante pour les enfants. Il expose à cet égard qu'il s'est toujours intéressé à leur situation quotidienne, assistant ses propres parents dans leur rôle éducatif, qu'il a également soutenu financièrement la famille dans une très large mesure et qu'il s'est rendu en outre très régulièrement au Kosovo pour passer des vacances en famille. Le critère de la relation familiale prépondérante n'est toutefois plus déterminant selon la jurisprudence rappelée ci-dessus (voir supra consid. 4a) et ne saurait justifier à lui seul un regroupement familial différé. Il convient plutôt de procéder à un examen de l'ensemble des circonstances. On relève à cet égard que les enfants ont toujours vécu au Kosovo. Ils y ont tissé des attaches familiales, sociales et culturelles importantes. Leur venue en Suisse serait ainsi susceptible de provoquer chez eux un grand déracinement. Par ailleurs, même s'ils peuvent compter sur l'aide de leur père, de leur oncle et de leurs cousins, les difficultés d'intégration des enfants, qui ne parlent pas le français, seraient importantes. Leur venue en Suisse n'apparaît dès lors pas dans leur intérêt supérieur au sens de la CDE. Au regard de ces éléments, le SPOP n'a pas abusé de son pouvoir d'appréciation en concluant à l'absence de raisons familiales majeures au sens de l'art. 47 al. 4 LEtr.</w:t>
      </w:r>
    </w:p>
    <w:p>
      <w:r>
        <w:rPr>
          <w:b/>
        </w:rPr>
        <w:t>E. 5</w:t>
      </w:r>
    </w:p>
    <w:p>
      <w:r>
        <w:t>Les considérants qui précèdent conduisent au rejet du recours et à la confirmation de la décision attaquée. Les recourants, qui succombent, supporteront les frais de justices, solidairement entre eux (art. 49 al. 1 et 51 al. 2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