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PE.2014.0006 vom 1. Juli 2014</w:t>
      </w:r>
    </w:p>
    <w:p>
      <w:r>
        <w:t>VD Tribunal cantonal, 2014-07-01, FR</w:t>
      </w:r>
    </w:p>
    <w:p>
      <w:r>
        <w:rPr>
          <w:b/>
        </w:rPr>
        <w:t xml:space="preserve">Quelle: </w:t>
      </w:r>
      <w:r>
        <w:t>https://mcp.opencaselaw.ch/entscheid/vd_omni_PE.2014.0006</w:t>
      </w:r>
    </w:p>
    <w:p>
      <w:r>
        <w:t>FR: VD_OMNI PE.2014.0006 du 1 juillet 2014</w:t>
      </w:r>
    </w:p>
    <w:p>
      <w:r>
        <w:t>IT: VD_OMNI PE.2014.0006 del 1 luglio 2014</w:t>
      </w:r>
    </w:p>
    <w:p>
      <w:pPr>
        <w:pStyle w:val="Heading2"/>
      </w:pPr>
      <w:r>
        <w:t>Regeste</w:t>
      </w:r>
    </w:p>
    <w:p>
      <w:r>
        <w:t>X.________ &amp; Cie/Service de la population (SPOP), Service de l'emploi Contrôle du marché du travail et protection des travailleurs | Refus confirmé d'une demande de main d'oeuvre étrangère déposée en faveur d'un ressortissant roumain engagé en qualité de chauffeur poids lourd. L'employeur n'a pas démontré avoir déployé des efforts suffisants pour trouver un travailleur sur le marché indigène.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période transitoire, durant laquelle des contingents et des prescriptions relatives au marché du travail peuvent être appliqués (art. 10 § 1b et 2b), initialement prévue jusqu'au 31 mai 2011, a été prolongée jusqu'au 31 mai 2014 (cf. notification du 27 mai 2011 de la Suisse au Comité mixte Suisse - UE, institué par l'ALCP ; RO 2011 4127). La période transitoire pourra, le cas échéant être prolongée jusqu'au 31 mai 2016 (art. 10 § 4c al. 2 ALCP). Quant à la clause de sauvegarde spéciale de l'art. 10 § 4, ALCP, elle pourra être activée à l'égard des ressortissants roumains et bulgare jusqu'à 10 ans après l'entrée en vigueur du protocole II, soit jusqu'au 31 mai 2019. La Suisse a fait usage de cette possibilité à l’art. 38 al. 4 de l’ordonnance fédérale sur l’introduction de la libre circulation des personnes (OLCP; RS 142.203). Cette disposition, tenant compte des possibilités de prolongation ménagées par les al. 2b, deuxième paragraphe, et 4b, deuxième paragraphe, de l’art. 10 ALCP, prévoit que les dispositions transitoires mentionnées ci-dessus s’appliquent au plus durant les sept premières années suivant l’entrée en vigueur du Protocole du 27 mai 2008. S’agissant du contrôle de la priorité des travailleurs indigènes – en relation notamment avec l’art. 10 al. 2b ALPC –, les Directives sur l’introduction progressive de la libre circulation des personnes émises par l’Office fédéral des migrations (ODM) prévoient ce qui suit (ch. 5.5.2, version 01.05.2011):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de la loi fédérale du 16 décembre 2005 sur les étrangers (LEtr; RS 142.20), intitulé " Ordre de priorité ", est applicable, au moins par analogie, à l’admission en vue de l’exercice d’une activité lucrative en Suisse des ressortissants des nouveaux Etats membres de l’Union européenne (TF 2C_217/2009 du 11 septembre 2009 consid. 2.2). Cette dernière disposition est ainsi applicable au cas particulier, dès lors que A.________ est de nationalité roumaine. b) Aux termes de l’art. 21 al. 1 de la loi fédérale du 16 décembre 2005 sur les étrangers (LEtr; RS 142.20),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les directives intitulées " I. Domaine des étrangers " de l’ODM prévoient en particulier ce qui suit (ch. 4.3.2.2, version 25.10.2013):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(voir arrêts PE.2012.0427 du 26 février 2013; PE.2012.0392 du 12 février 2013; PE.2012.0285 du 4 décembre 2012; PE.2012.0041 du 14 juin 2012; PE.2010.0106 du 11 mai 2010,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PE.2012 0285 du 4 décembre 2012; PE.2012.0010 du 23 mars 2012).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w:t>
      </w:r>
    </w:p>
    <w:p>
      <w:r>
        <w:rPr>
          <w:b/>
        </w:rPr>
        <w:t>E. 3</w:t>
      </w:r>
    </w:p>
    <w:p>
      <w:r>
        <w:t>En l'espèce, la recourante expose que pour exercer son activité, elle dispose d'un parc de véhicules spécifiques (épandeuses, chasses-neige, chenillettes pour trottoirs, souffleuses à neige, déneigeuses-avaleuses), dont l'utilisation nécessite des connaissances techniques précises relativement au salage et au déneigement. Elle relève par ailleurs qu'elle utilise des techniques de salage et de déneigement au moyen de produits écologiques, ce qui nécessite des connaissances encore plus spécifiques. Or, les candidats qui lui ont été assignés par l'ORP et les candidats qui ont fait des offres spontanées ne disposaient d'aucune expérience dans le domaine du nettoyage industriel, s'agissant spécifiquement du salage et du déneigement. La recourante précise par ailleurs que la durée de formation d'un chauffeur aurait été trop longue pour lui permettre d'être opérationnel durant l'hiver 2013-2014. Elle affirme que ce n'était ainsi pas par convenance personnelle que son choix s'était porté sur A.________, qui bénéficiait déjà de la formation requise. Il n'est pas contesté que le poste de chauffeur poids lourds au sein de la recourante, eu égard à la spécificité de son activité, nécessite des connaissances particulières. La question est dès lors de savoir si la recourante a fait tous les efforts que l'on pouvait attendre d'elle pour trouver un travailleur sur le marché indigène, dont les qualifications répondaient à celles requises. Manifestement, tel n'est pas le cas. Tout d'abord, il faut relever que la recourante a adressé le 1 er octobre 2013 à l'autorité intimée une demande d'autorisation de travail en faveur de A.________. A cette époque, elle n'avait entrepris aucune démarche pour trouver un travailleur indigène capable d'occuper le poste recherché; du moins n'apporte-t-elle pas la preuve de telles recherches. En effet, ce n'est qu'un mois plus tard, soit le 6 novembre 2013, qu'elle a annoncé ce poste vacant à l'ORP, après que l'autorité intimée lui eut commandé de le faire le 5 novembre 2013. En outre, la recourante n'a fait une annonce pour le poste litigieux qu'auprès de l'ORP. Elle n'a ainsi pas établi avoir utilisé un autre support pour attester de ses recherches, comme par exemple des annonces dans la presse régionale ou auprès d'agences de placement de personnel. A cela s'ajoute le fait que la recourante a demandé à l'ORP la suppression de son annonce le 3 décembre 2013, alors même que la publication du poste y était initialement prévue jusqu'au 6 décembre 2013. Ainsi, on doit retenir pour toute démarche entreprise par la recourante l'annonce durant moins d'un mois du poste de chauffeur poids lourds auprès de l'ORP. En regard des cas jurisprudentiels rappelés ci-dessus, il faut admettre que cette démarche était insuffisante et impropre à établir que sur le marché indigène, personne ne répondait au profil recherché. Ce d'autant plus que pas moins de dix personnes, toutes titulaires d'un permis poids lourds, ont répondu à l'annonce publiée par l'ORP. Or, les motifs pour lesquels la recourante a décliné toutes ces candidatures demeurent obscurs. En effet, le descriptif du poste fait état de deux exigences que l'on peut qualifier de particulières pour une activité de chauffeur poids lourds: celle de devoir saler et déménager en hiver d'une part, celle d'être "prêt à travailler comme nettoyeur, une fois sur place, avec la technique du nettoyage cryogénique industriel" , d'autre part. Dans ces écritures, la recourante ne démontre pas qu'aucun de ces candidats ne remplissait ces exigences ou, à tout le moins, qu'ils ne pourraient être formés à ces fins. La recourante ne soutient notamment pas les avoir convoqués à un entretien pour clarifier la situation. S'agissant du prétendu manque de temps à disposition pour former des chauffeurs avant le début de l'hiver, la recourante ne peut s'en prendre qu'à elle-même puisque, comme déjà indiqué plus haut, elle a attendu le 6 novembre 2013 avant d'annoncer le poste à l'ORP, alors qu'elle avait entrepris sa démarche en faveur de A.________ auprès de l'autorité intimée le 1 er octobre 2013 et qu'elle était inscrite au Registre du commerce depuis le 27 août 2013 déjà. En définitive, il faut admettre que les démarches effectuées par la recourante étaient insuffisantes et que son souhait de pouvoir engager en son sein A.________ relevait plutôt de la convenance personnelle. Ce sentiment est renforcé par le fait que, quand bien même l'instruction n'a pas porté sur cette circonstance, ce dernier porte le même patronyme que l'un des associés de la recourante, D.________, ce qui laisse supposer l'existence d'un lien de parenté entre ces deux ressortissants roumains. C'est dès lors à juste titre que l'autorité intimée a refusé de délivrer l'autorisation sollicitée.</w:t>
      </w:r>
    </w:p>
    <w:p>
      <w:r>
        <w:rPr>
          <w:b/>
        </w:rPr>
        <w:t>E. 4</w:t>
      </w:r>
    </w:p>
    <w:p>
      <w:r>
        <w:t>Les considérants qui précèdent conduisent au rejet du recours et à la confirmation de la décision attaquée. La recourante, qui succombe, supportera les frais de justice (art. 49, 91 et 99 LPA-VD). En outre, elle n'aura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