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PE.2013.0490 vom 4. März 2014</w:t>
      </w:r>
    </w:p>
    <w:p>
      <w:r>
        <w:t>VD Tribunal cantonal, 2014-03-04, FR</w:t>
      </w:r>
    </w:p>
    <w:p>
      <w:r>
        <w:rPr>
          <w:b/>
        </w:rPr>
        <w:t xml:space="preserve">Quelle: </w:t>
      </w:r>
      <w:r>
        <w:t>https://mcp.opencaselaw.ch/entscheid/vd_omni_PE.2013.0490</w:t>
      </w:r>
    </w:p>
    <w:p>
      <w:r>
        <w:t>FR: VD_OMNI PE.2013.0490 du 4 mars 2014</w:t>
      </w:r>
    </w:p>
    <w:p>
      <w:r>
        <w:t>IT: VD_OMNI PE.2013.0490 del 4 marzo 2014</w:t>
      </w:r>
    </w:p>
    <w:p>
      <w:pPr>
        <w:pStyle w:val="Heading2"/>
      </w:pPr>
      <w:r>
        <w:t>Regeste</w:t>
      </w:r>
    </w:p>
    <w:p>
      <w:r>
        <w:t>A. X.________/Service de la population (SPOP) | Confirmation du refus du SPOP d'entrer en matière sur une demande de réexamen (suite arrêts PE.2012.0105 et PE.2013.0134). Pas de faits nouveaux et déterminants invoqués.</w:t>
      </w:r>
    </w:p>
    <w:p>
      <w:pPr>
        <w:pStyle w:val="Heading2"/>
      </w:pPr>
      <w:r>
        <w:t>Erwägungen</w:t>
      </w:r>
    </w:p>
    <w:p>
      <w:r>
        <w:rPr>
          <w:b/>
        </w:rPr>
        <w:t>E. 1</w:t>
      </w:r>
    </w:p>
    <w:p>
      <w:r>
        <w:t>Interjeté en temps utile (art. 95 LPA-VD), le recours satisfait par ailleurs aux autres conditions formelles de recevabilité (cf. en particulier art. 79 al. 1 LPA-VD, applicable par renvoi de l'art. 99 LPA-VD), de sorte qu'il y a lieu d'entrer en matière sur le fond.</w:t>
      </w:r>
    </w:p>
    <w:p>
      <w:r>
        <w:rPr>
          <w:b/>
        </w:rPr>
        <w:t>E. 2</w:t>
      </w:r>
    </w:p>
    <w:p>
      <w:r>
        <w:t>Sur le plan formel, le recourant se plaint d'un défaut de motivation. a) Une décision administrative doit notamment contenir " les faits, les règles juridiques et les motifs sur lesquels elle s'appuie" (art. 42 let. c LPA-VD). Cette exigence découle du droit d'être entendu, tel qu’il est garanti par l’art. 29 al. 2 de la Constitution fédérale du 18 avril 1999 de la Confédération suisse (Cst.; RS 101) ,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 b) En l'espèce, il est vrai que la décision attaquée est relativement sommaire dans sa motivation, retenant, après avoir rappelé le contenu de l'art. 64 LPA-VD, que le recourant ne réunissait pas les conditions d'application de cette disposition, au motif que "les faits invoqués ne sont pas relevants et ne sont pas de nature à justifier un réexamen de notre part" . Il faut toutefois admettre que l'autorité a exposé les motifs de sa décision, en considérant, après les avoir examinés, que les faits allégués par le recourant ne constituaient pas des cas de réexamen au regard des conditions fixées par l'art. 64 LPA-VD. Le recourant a ainsi pu comprendre les motifs du rejet de sa demande et a pu recourir devant l'autorité de céans. Au cours de la présente procédure, il a au demeurant pu se déterminer et compléter les moyens de son recours dans sa réplique. On ne saurait partant considérer que le droit d'être entendu du recourant a été violé (dans le même sens, cf. arrêt PE.2013.0140 du 17 janvier 2014, consid. 3).</w:t>
      </w:r>
    </w:p>
    <w:p>
      <w:r>
        <w:rPr>
          <w:b/>
        </w:rPr>
        <w:t>E. 3</w:t>
      </w:r>
    </w:p>
    <w:p>
      <w:r>
        <w:t>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120 Ib 42 consid. 2b p. 46/47, et les arrêts cités; TF 2D_138/2008 du 10 juin 2009 consid. 3.2 et les références). b) A l'appui de sa demande de réexamen, le recourant soutient qu'un retour dans son pays d'origine avant le prononcé de son divorce l'empêcherait de se défendre dans cette procédure. Ce fait n'est ni nouveau ni déterminant. La cour de céans l'a expressément rappelé à l'intéressé dans son arrêt du 5 juillet 2013 (voir ci-dessus le passage de l'arrêt en question, figurant sous let. D). Le recourant fait état en outre de menaces concrètes et graves qui pèseraient sur lui de la part de sa belle-famille, s'il devait persister à ne pas collaborer dans la procédure de divorce, notamment en n'acceptant pas de renoncer à ses prétentions dans le cadre de la liquidation du régime matrimonial. Ce moyen n'est pas relevant. En effet, l'existence de telles menaces n'est pas établie, mais résulte des seules explications du recourant. Celui-ci n'a offert aucun moyen de preuve solide à ce sujet. Et en tout état de cause, l'existence de telles menaces n'est pas déterminante pour l'issue du litige. En effet, si vraiment le recourant devait se sentir menacé après son retour en Turquie, rien ne l'empêcherait d'en référer aux autorités locales de police pour assurer sa protection. Et si cela ne devait toujours pas suffire, rien ne l'empêcherait de quitter son village pour aller s'établir dans une autre région de la Turquie. On rappelle à cet égard que le recourant est orphelin de naissance et qu'il n'a aucun enfant à charge. Il a en outre déjà une fois décidé de quitter sa région natale, en l'occurrence pour venir s'établir en Suisse. Partant, rien ne s'oppose à un retour du recourant en Turquie, cas échéant ailleurs que dans la région de son village d'origine. Faute d'éléments nouveaux et pertinents, c'est à juste titre que l'autorité intimée n'est pas entrée en matière sur la demande de réexamen déposée par le recourant.</w:t>
      </w:r>
    </w:p>
    <w:p>
      <w:r>
        <w:rPr>
          <w:b/>
        </w:rPr>
        <w:t>E. 4</w:t>
      </w:r>
    </w:p>
    <w:p>
      <w:r>
        <w:t>Il résulte des considérants qui précèdent que mal fondé, le recours doit être rejeté et la décision attaquée, confirmée.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en tenant compte des montants payés à titre de contribution mensuelle depuis le début de la procédure.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