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PE.2013.0477 vom 31. März 2014</w:t>
      </w:r>
    </w:p>
    <w:p>
      <w:r>
        <w:t>VD Tribunal cantonal, 2014-03-31, FR</w:t>
      </w:r>
    </w:p>
    <w:p>
      <w:r>
        <w:rPr>
          <w:b/>
        </w:rPr>
        <w:t xml:space="preserve">Quelle: </w:t>
      </w:r>
      <w:r>
        <w:t>https://mcp.opencaselaw.ch/entscheid/vd_omni_PE.2013.0477</w:t>
      </w:r>
    </w:p>
    <w:p>
      <w:r>
        <w:t>FR: VD_OMNI PE.2013.0477 du 31 mars 2014</w:t>
      </w:r>
    </w:p>
    <w:p>
      <w:r>
        <w:t>IT: VD_OMNI PE.2013.0477 del 31 marzo 2014</w:t>
      </w:r>
    </w:p>
    <w:p>
      <w:pPr>
        <w:pStyle w:val="Heading2"/>
      </w:pPr>
      <w:r>
        <w:t>Regeste</w:t>
      </w:r>
    </w:p>
    <w:p>
      <w:r>
        <w:t>X._______________ c/Service de la population (SPOP) | Recours contre une décision déclarant irrecevable une demande de réexamen, subsidiairement rejettant une telle demande. Le recourant, ressortissant du Kosovo résidant en Suisse depuis 2003, fait valoir qu'il ne s'agit pas d'une demande de réexamen mais d'une demande d'autorisation d'établissement, subsidiairement d'autorisation de séjour fondée sur l'art. 31 OASA. Dans un précédent arrêt PE.2013.226, la situation du recourant avait été examinée à l'aune de l'art. 50 al. 1 let. b LEtr. Examen de la situation sous l'angle de l'art. 31 OASA malgré le fait qu'un examen sous l'angle de l'art. 50 LEtr est plus favorable : le recourant ne se trouve pas dans un cas individuel d'extrême gravité. Recours rejeté. Recours en matière de droit public au Tribunal fédéral déclaré irrecevable; recours constitutionnel subsidiaire rejté dans la mesure où il est recevable (2C_457/2014).</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Le recourant a requis son audition et celle de témoins.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en toute connaissance de cause et ne voit en outre pas quels nouveaux éléments, qui n'auraient pas pu être exposés par écrit ou ne figureraient pas dans les pièces du dossier, pourrait encore apporter l’audience sollicitée par le recourant et l'audition de témoins éventuels. Cela étant, il n'y a pas lieu de donner suite aux réquisitions précitées du recourant.</w:t>
      </w:r>
    </w:p>
    <w:p>
      <w:r>
        <w:rPr>
          <w:b/>
        </w:rPr>
        <w:t>E. 3</w:t>
      </w:r>
    </w:p>
    <w:p>
      <w:r>
        <w:t>Le recourant fait valoir principalement que sa demande du 8 octobre 2013 n’est pas une requête de réexamen, mais une demande d’autorisation d’établissement, subsidiairement d’autorisation de séjour fondée sur les critères de l’art. 31 OASA. En l’espèce, il apparaît que la situation du recourant a été examinée à l’aune de l’art. 50 al. 1 let. b de la loi fédérale du 16 décembre 2005 sur les étrangers (LEtr; RS 142.20). Il semble toutefois douteux qu’un examen du cas sous l’angle de l’art. 31 OASA puisse aboutir à une solution plus favorable que sous l’angle de l’art. 50 LEtr. En effet, l’art. 31 al. 1 OASA complète l’art. 30 al. 1 let. b LEtr ; cette disposition constitue la norme générale du cas d’extrême gravité en matière de droit des étrangers et laisse à l’autorité cantonale un pouvoir d’appréciation qui lui permet de déroger aux conditions d’admission sous réserve de l’approbation de l’Office fédéral des migrations. En revanche, l’art. 50 al. 1 let. b LEtr, qui tend à harmoniser les pratiques cantonales, confère un droit au conjoint étranger à des conditions qui peuvent recouper celles du cas d’extrême gravité ordinaire mais qui sont fondées sur la persistance du droit que le conjoint étranger tirait précédemment du mariage (2C_784/2010 du 26 mai 2011, publié à l’ ATF 137 II 345).</w:t>
      </w:r>
    </w:p>
    <w:p>
      <w:r>
        <w:rPr>
          <w:b/>
        </w:rPr>
        <w:t>E. 4</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La première hypothèse de réexamen obligatoire, selon l'art. 64 al. 2 let. a LPA-VD, permet de prendre en compte un changement de circonstances et de modifier une décision administrative correcte à l'origine (Benoît Bovay/Thibault Blanchard/ Clémence 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Cette hypothèse ne concerne que les décisions aux effets durables comme c'est le cas par exemple, d'une décision réglementant le statut d'une personne au regard des règles de police des étrangers (PE.2011.0303 du 21 octobre 2011).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En l’espèce, le recourant motive son recours en faisant valoir qu’il est parfaitement intégré en Suisse et qu’un titre de séjour doit lui être octroyé au regard des critères de l’art. 31 OASA. L’autorité intimée considère, quant à elle, qu’il n’existe aucun élément nouveau ouvrant formellement la voie du réexamen.</w:t>
      </w:r>
    </w:p>
    <w:p>
      <w:r>
        <w:rPr>
          <w:b/>
        </w:rPr>
        <w:t>E. 5</w:t>
      </w:r>
    </w:p>
    <w:p>
      <w:r>
        <w:t>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Pour interpréter la notion de "cas d'extrême gravité" , l'on peut se référer à la jurisprudence développée sous l'empire de l'ancien art. 13 let. f de l'ordonnance fédérale du 6 octobre 1986 limitant le nombre des étrangers (OLE), abrogée dès le 1 er janvier 2008 (arrêt PE.2010.0599 du 10 mars 2011 consid. 3a/aa et les réf. citées). La jurisprudence n'admet que restrictivement l'existence d'un cas personnel d'extrême gravité. L'étranger doit se trouver dans un cas de détresse personnelle. Il ne suffit pas que, comme d'autres compatriotes appelés à rentrer dans le pays d'origine, l'étranger se voit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que l'on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arrêts PE.2011.0018 du 5 avril 2011 consid. 4; PE.2010.0286 du 3 septembre 2010 consid. 4).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124 II 110 consid. 3 p. 113). Selon la jurisprudence fédérale, il convient de tenir compte de l'ensemble des circonstances du cas d'espèce lors de l'examen d'un cas de rigueur. Il faut considérer tous les éléments qui plaident en faveur de l'acceptation ou du refus de la demande (ATF 128 II 200; ATF 124 II 110; Directives LEtr, ch. 5.6.1, état au 1 er juillet 2009). b) Le recourant réside en Suisse depuis novembre 2003, soit depuis onze ans. Or, il ressort du dossier que ce séjour a en grande partie été illégal et qu’il ne doit sa longueur qu’à l’obstination du recourant à se soustraire aux décisions de renvoi et d’interdiction d’entrée en Suisse qui lui ont été signifiées, ainsi qu’à l’incapacité des autorités à assurer le respect de ces décisions. Partant, malgré sa durée et au vu de la jurisprudence précitée, ce séjour ne saurait en soi justifier une mesure de régularisation. Depuis son arrivée en Suisse, le recourant a certes toujours exercé une activité lucrative, n’a jamais fait l’objet de poursuites ni bénéficié de prestations de l’aide sociale. Ces éléments ne suffisent cependant pas à témoigner d’une intégration particulièrement réussie ; les postes qu’il a occupés ne constituent en effet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ATAF C-49/2008 du 9 février 2009). Le recourant est arrivée en Suisse pour la première fois à l’âge de 24 ans, accompagné de sa première épouse et de leur fils. Lorsqu’il est revenu en Suisse en 2003, il était âgé de 28 ans, il a donc passé toute son enfance et son adolescence au Kosovo, où vivent sa famille, son fils et ses amis. Par conséquent, il y a lieu d’admettre que le recourant a conservé des attaches dans son pays d’origine ainsi que des liens culturels avec celui-ci. Il ne peut donc pas prétendre, dans ces conditions, que ses liens avec la Suisse sont si étroits qu’on ne saurait exiger de lui qu’il quitte ce pays. Il est vrai que ses perspectives professionnelles au Kosovo pourraient s’avérer délicates étant donné les problèmes économiques et sociaux que rencontre ce pays. Le fait que la situation économique au Kosovo soit difficile n’est cependant pas déterminant dès lors que l’art. 30 al. 1 let. b LEtr n’a pas pour but de soustraire les étrangers aux conditions générales de leur pays d’origine (dans ce sens, arrêts PE.2009.0615 du 4 janvier 2010 et PE.2008.0367 du 30 juin 2009). Enfin, le recourant ne se prévaut pas de circonstances particulières qui l’exposeraient à un danger quelconque en cas de retour dans son pays d’origine et il est en bonne santé. c) Il apparaît ainsi que le recourant ne se trouve pas dans un cas individuel d’extrême gravité qui imposerait la poursuite de son séjour en Suisse.</w:t>
      </w:r>
    </w:p>
    <w:p>
      <w:r>
        <w:rPr>
          <w:b/>
        </w:rPr>
        <w:t>E. 6</w:t>
      </w:r>
    </w:p>
    <w:p>
      <w:r>
        <w:t>Il résulte des considérants qui précèdent que le recours, manifestement mal fondé, doit être rejeté selon la procédure simplifiée de l’art. 82 LPA-VD, et la décision attaquée maintenue.</w:t>
      </w:r>
    </w:p>
    <w:p>
      <w:r>
        <w:rPr>
          <w:b/>
        </w:rPr>
        <w:t>E. 7</w:t>
      </w:r>
    </w:p>
    <w:p>
      <w:r>
        <w:t>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