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PE.2013.0476 vom 3. Februar 2014</w:t>
      </w:r>
    </w:p>
    <w:p>
      <w:r>
        <w:t>VD Tribunal cantonal, 2014-02-03, FR</w:t>
      </w:r>
    </w:p>
    <w:p>
      <w:r>
        <w:rPr>
          <w:b/>
        </w:rPr>
        <w:t xml:space="preserve">Quelle: </w:t>
      </w:r>
      <w:r>
        <w:t>https://mcp.opencaselaw.ch/entscheid/vd_omni_PE.2013.0476</w:t>
      </w:r>
    </w:p>
    <w:p>
      <w:r>
        <w:t>FR: VD_OMNI PE.2013.0476 du 3 février 2014</w:t>
      </w:r>
    </w:p>
    <w:p>
      <w:r>
        <w:t>IT: VD_OMNI PE.2013.0476 del 3 febbraio 2014</w:t>
      </w:r>
    </w:p>
    <w:p>
      <w:pPr>
        <w:pStyle w:val="Heading2"/>
      </w:pPr>
      <w:r>
        <w:t>Regeste</w:t>
      </w:r>
    </w:p>
    <w:p>
      <w:r>
        <w:t>X.______________ c/Service de l'emploi Contrôle du marché du travail, Service de la population (SPOP) | Recours contre une décision refusant la demande de main d'oeuvre étrangère déposée en faveur de la recourante, ressortissante croate en situation irrégulière en Suisse depuis 2001. La Suisse n'a pas ratifié le protocole aditionnel III à l'ALCP, relatif à la participation de la Croatie - membre de l'Union européenne depuis le 1er juillet 2013 - en tant que partie contractante à l'accord sur la libre circulaltion des personnes. La recourante reste soumise à la loi fédérale sur les étrangers (art. 2 al. 1 LEtr). En l'occurence, les conditions à l'octroi d'une autorisation de travail ne sont pas réunies. L'ordre de priorité n'a pas été respecté par l'employeur (art. 21 LEtr) et la recourante ne dispose pas de qualifications personnelles (art. 23 al. 1 LEtr). Rejet du recours.</w:t>
      </w:r>
    </w:p>
    <w:p>
      <w:pPr>
        <w:pStyle w:val="Heading2"/>
      </w:pPr>
      <w:r>
        <w:t>Erwägungen</w:t>
      </w:r>
    </w:p>
    <w:p>
      <w:r>
        <w:rPr>
          <w:b/>
        </w:rPr>
        <w:t>E. 1</w:t>
      </w:r>
    </w:p>
    <w:p>
      <w:r>
        <w:t>La décision litigieuse est susceptible d'un recours de droit administratif auprès de la CDAP (art. 92 de la loi du 28 octobre 2008 sur la procédure administrative, LPA-VD, RSV 173.36 et art. 83 de la loi du 12 décembre 1979 d'organisation judiciaire, LOJV, RSV 173.01). Déposé en tant utile et auprès de l'autorité compétente par la personne concernée (art. 95 et art. 75 LPA-VD applicable par renvoi de l'art. 99 LPA-VD), le recours est recevable. Aussi, y a-t-il lieu d'entrer en matière sur le fond.</w:t>
      </w:r>
    </w:p>
    <w:p>
      <w:r>
        <w:rPr>
          <w:b/>
        </w:rPr>
        <w:t>E. 2</w:t>
      </w:r>
    </w:p>
    <w:p>
      <w:r>
        <w:t>La recourante considère qu'elle réunit les conditions d'admission en vue de l'exercice d'une activité lucrative salariée et que l'autorité intimée ne lui a pas donné l'occasion d'en offrir la preuve. a) Le 1 er juillet 2013, la République de Croatie a été le 28 ème pays à adhérer à l'UE. Dans la mesure où tout élargissement de l'UE requiert une adaptation de l'Accord du 21 juin 1999 entre la Confédération suisse, d'une part, et la Communauté européenne et ses Etats-membres, d'autre part, sur la libre circulation des personnes (ALCP, RS 0.142.112.681), le Conseil fédéral a adopté le 8 mars 2013 le mandat de négociation relatif à l'extension de l'ALCP à ce nouvel Etat membre. Les négociations à ce propos ont abouti à la rédaction du Protocole à l'ALCP, concernant la participation, en tant que partie contractante, de la République de Croatie, à la suite de son adhésion à l'Union européenne (Protocole additionnel III), lequel doit encore être approuvé par le Parlement et le cas échéant être soumis à la votation populaire. Dans l'intervalle, l'admission des ressortissants croates reste soumise à la loi fédérale du 16 décembre 2005 sur les étrangers (LEtr, RS 142.20) en vertu de son art. 2 al.1.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Selon l’art. 21 al. 1 LEtr (intitulé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Conformément à l’art. 23 al. 1 et 3 let. c LEtr, seuls les cadres, les spécialistes ou autres travailleurs qualifiés peuvent obtenir une autorisation de courte durée ou de séjour, sous réserve des personnes possédant des connaissances ou des capacités professionnelles particulières, si leur admission répond de manière avérée à un besoin. Les directives et commentaires de l'Office fédéral des migrations, domaine des étrangers, dans leur teneur au mois d'octobre 2013 précisent à leur ch. 4.3.4 que les qualifications personnelles peuvent avoir été obtenues notamment à la suite d'un cursus universitaire ou d'une haute école spécialisée et qu'elles peuvent souvent être déduites de la fonction du travailleur étranger, par exemple lorsqu'il s'agit de personnes appelées à créer ou à diriger des entreprises importantes pour le marché du travail. c) La recourante se plaint que l'autoritée intimée n'a procédé à aucun examen de ses compétences et qualifications personnelles et qu'elle n'a ordonné aucune instruction quant aux démarches entreprises par l'employeur pour trouver un travailleur de nationalité suisse ou ressortissant d'un Etat membre de l'UE. Ce faisant la recourante se plaint de la violation du droit d'être entendu. À teneur de l'art. 34 al.1 et 3 LPA-VD, les parties participent à l'administration des preuves et l'autorité doit administrer les preuves requises si ces moyens n'apparaissent pas d'emblée dénués de pertinence. Le droit d'être entendu garanti par l'art. 29 al. 2 de la Constitution fédérale de la Confédération suisse du 18 avril 1999 (Cst, RS 101) garantit le droit des parties de faire administrer des preuves, à moins que celles-ci portent sur un fait dépourvu de pertinence ou qu'elles soient manifestement inaptes à faire apparaître la vérité quant aux faits de la cause.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135 I 279 consid. 2.3; 133 I 270 consid. 3.1; PE.2000.0357 et réf. citée). En l'espèce, il est manifeste que la recourante ne réunit pas les conditions légales pour être admise en vue de l'exercice d'une activité lucrative salariée. En effet, elle ne peut justifier de qualifications personnelles, le poste visé n'étant pas un emploi qualifié et elle ne peut prétendre avoir obtenu une formation particulière au cours de ses précédents engagements. En outre, il est évident que l'ordre de priorité n'a pas été respecté par l'employeur, lequel pouvait certainement trouver un travailleur suisse ou européen dont le profil correspondait à son offre d'emploi. Dans ces conditions, l'autorité intimée n'était pas tenue d'ordonner des mesures d'instructions complémentaires, lesquelles paraissent dénuées de pertinence pour l'issue du litige. Aussi, le droit d'être entendu de la recourante n'a-t-il pas été violé.</w:t>
      </w:r>
    </w:p>
    <w:p>
      <w:r>
        <w:rPr>
          <w:b/>
        </w:rPr>
        <w:t>E. 3</w:t>
      </w:r>
    </w:p>
    <w:p>
      <w:r>
        <w:t>Ensuite, la recourante considère être dans un cas individuel d'une extrême gravité justifiant une dérogation aux condition d'admission selon l'art. 30 al. 1 let. b LEtr. Selon cette disposition,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(Message du 8 mars 2003 concernant la loi sur les étrangers, FF 2002 3543 ss).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citée).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et réf. citée). En l'espèce, la recourante rappelle qu'elle vit en Suisse depuis 12 ans. Cependant, les séjours illégaux en Suisse ne sont pas pris en compte lors de l'examen de la situation personnelle d'extrême gravité et la recourante ne saurait donc tirer parti de la durée de son séjour en Suisse pour obtenir l'autorisation sollicitée. Ensuite, bien que l'intégration de la recourante en Suisse semble réussie, elle n'est pas à ce point exceptionnelle qu'elle justifierait une exemption aux conditions d'admission. En effet, le fait pour un étranger d'avoir séjourné en Suisse pendant une assez longue période, de s'y être bien intégré socialement et professionnellement et de s'être comporté correctement ne suffit pas, à lui seul, pour retenir un cas personnel d'extrême gravité selon la jurisprudence. Enfin, ni le recours, ni le dossier n'exposent d'éléments indiquant qu'elle se trouverait dans une situation personnelle grave si elle devait retourner vivre dans son pays d'origine.</w:t>
      </w:r>
    </w:p>
    <w:p>
      <w:r>
        <w:rPr>
          <w:b/>
        </w:rPr>
        <w:t>E. 4</w:t>
      </w:r>
    </w:p>
    <w:p>
      <w:r>
        <w:t>Manifestement mal fondé, le recours doit être rejeté et la décision attaquée, confirmée, sans qu'il soit nécessaire de procéder à un échange d'écritures (art. 82 al. 1 LPA-VD). Vu le sort de la cause, un émolument judiciaire est mis à la charge de la recourante (art. 46 al. 3 et art.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