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PE.2013.0446 vom 31. August 2015</w:t>
      </w:r>
    </w:p>
    <w:p>
      <w:r>
        <w:t>VD Tribunal cantonal, 2015-08-31, FR</w:t>
      </w:r>
    </w:p>
    <w:p>
      <w:r>
        <w:rPr>
          <w:b/>
        </w:rPr>
        <w:t xml:space="preserve">Quelle: </w:t>
      </w:r>
      <w:r>
        <w:t>https://mcp.opencaselaw.ch/entscheid/vd_omni_PE.2013.0446</w:t>
      </w:r>
    </w:p>
    <w:p>
      <w:r>
        <w:t>FR: VD_OMNI PE.2013.0446 du 31 août 2015</w:t>
      </w:r>
    </w:p>
    <w:p>
      <w:r>
        <w:t>IT: VD_OMNI PE.2013.0446 del 31 agosto 2015</w:t>
      </w:r>
    </w:p>
    <w:p>
      <w:pPr>
        <w:pStyle w:val="Heading2"/>
      </w:pPr>
      <w:r>
        <w:t>Regeste</w:t>
      </w:r>
    </w:p>
    <w:p>
      <w:r>
        <w:t>A.X.________/Service de la population (SPOP) | Recours d'une ressortissante turque contre une décision du SPOP déclarant sa demande de réexamen d'une précédente décision refusant l'octroi d'une autorisation de séjour en sa faveur irrecevable, subsidiairement la rejetant. La recourante présente une polyneuropathie inflammatoire démyélinisante chronique (qui n'avait pas été diagnostiquée avant la présente procédure) ainsi qu'une symptomatologie dépressive; compte tenu des circonstances (notamment de l'avis convaincant de l'un des médecins qui l'ont suivie), le tribunal a pu se convaincre que l'intéressée ne pourrait obtenir un encadrement suffisant dans son pays d'origine, qu'il soit institutionnel ou familial. La situation de la recourante s'est ainsi modifiée de telle sorte qu'elle est désormais constitutive d'un cas de rigueur. Admission du recours et annulation de la décision attaquée, le dossier de la cause étant renvoyé à l'autorité intimée pour nouvelle décision dans le sens des considérants.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Concernant les motifs prévus à l'art. 64 al. 2 LPA-VD donnant droit au réexamen d'une décision, il faut relever que l'hypothèse prévue sous lettre b, couramment appelée révision au sens étroit (cf. Pierre Moor, Droit administratif, vol. II, 2 ème éd., Berne 2002, pp. 241 ss; Alfred Koelz/Isabelle Haener, Verwaltungsverfahren und Verwaltungsrechtspflege des Bundes, 2 ème éd., Zurich 1998, n° 426, p. 157),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L'hypothèse prévue sous lettre a permet quant à elle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(clôture de l'instruction; cf. Pierre Moor, op. cit. , n o 2.4.4.1 p. 342; Alfred Koelz/Isabelle Haener, op. cit. , n os 426, 429, 438 et 440; Rhinow/Koller/Kiss, Öffentliches Prozessrecht und Justizverfassungsrecht des Bundes, Francfort-sur-le-Main 1996, n° 1199). Cette hypothèse ne concerne naturellement que les décisions aux effets durables ( "Dauerverfügung" ; Pierre Moor, op. cit. , p. 230; Alfred Koelz/Isabelle Haener, op. cit. , n° 444), ce qui est le cas, comme en l'espèce, d'une décision réglementant le statut d'une personne au regard des règles de police des étrangers (cf. arrêt TA bernois du 8 octobre 1992, JAB 1993, p. 244 consid. 2a; arrêt PE.2009.0026 du 11 mars 2009).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Pierre Moor, op. cit. , p. 342; Rhinow/Koller/Kiss, op. cit. ,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Pierre Moor, op. cit. , p. 342; Alfred Koelz/Isabelle Haener, op. cit. , n° 434, application analogique de l'art. 66 al. 3 PA; Rhinow/Koller/Kiss, op. cit. , n° 1431; cf. également, en matière de réexamen des décisions de taxation fiscale, ATF 111 Ib 209 consid. 1 et, en matière de révision des arrêts du TF, l'art. 137 let. b in fine aOJ et ATF 121 précité consid. 2).</w:t>
      </w:r>
    </w:p>
    <w:p>
      <w:r>
        <w:rPr>
          <w:b/>
        </w:rPr>
        <w:t>E. 3</w:t>
      </w:r>
    </w:p>
    <w:p>
      <w:r>
        <w:t>En l’occurrence, la recourante fait valoir à l’appui de son recours la survenance de circonstances nouvelles, constitutives d’un cas individuel d’extrême gravité, qui devraient conduire à l’octroi d’un titre de séjour en Suisse en sa faveur. Ces circonstances sont au nombre de deux : l’aggravation de son état de santé qui a conduit à sa dépendance envers sa famille pour les actes de la vie quotidienne et l’octroi d’un titre de séjour en faveur de sa fille. C'est dans ces circonstances, sous l'angle de l'art. 64 al. 2 let. a LPA-VD, qu'il convient d'examiner la demande de réexamen. En premier lieu, et avec l’autorité intimée, il convient de relever que la situation personnelle de la recourante, et en particulier son état de santé, a déjà été soigneusement prise en compte dans les précédentes procédures, tant en première qu’en deuxième instance. Le fait que l’état de santé de la recourante se dégrade par simple écoulement du temps ne saurait suffire à justifier un réexamen, et ce d’autant plus que c’est par son refus d’obtempérer aux décisions de renvoi que la recourante est demeurée en Suisse alors qu’elle aurait dû quitter le territoire suisse depuis de nombreuses années. Cela étant, il convient d’examiner si la situation de la recourante s’est modifiée suffisamment pour relever aujourd’hui d’un cas de rigueur.</w:t>
      </w:r>
    </w:p>
    <w:p>
      <w:r>
        <w:rPr>
          <w:b/>
        </w:rPr>
        <w:t>E. 4</w:t>
      </w:r>
    </w:p>
    <w:p>
      <w:r>
        <w:t>a) Selon l'art. 30 al. 1 let. b de la loi fédérale du 16 décembre 2005 sur les étrangers (LEtr; RS 142.20), il est possible de déroger aux conditions d'admission (art. 18 à 29 LEtr), en particulier pour tenir compte des cas individuels d'une extrême gravité. L'art. 31 al. 1 de l'ordonnance du 24 octobre 2007 relative à l'admission, au séjour et à l'exercice d'une activité lucrative (OASA; RS 142.201)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correspond en substance à l'art. 13 let. f de l'ancienne ordonnance fédérale du 6 octobre 1986 limitant le nombre des étrangers (aOLE; RO 1986 1791 et les modifications subséquentes), de sorte que la jurisprudence relative à cette dernière disposition demeure applicable (TF, arrêt 8C_724/2009 du 11 juin 2010 consid. 5.3.1 et les références). Selon la jurisprudence relative aux art. 13 let. f aOLE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b)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TF, arrêt 2C_216/2009 du 20 août 2009 consid 4.2 et ATF 128 II 200 consid. 5.3; arrêt PE.2011.0175 du 21 octobre 2011). Pour juger de l'état de santé des personnes concernées, on peut se référer à des rapports médicaux, des certificats médicaux, des rapports émanant de centres de soins, de services sociaux ou encore à des rapports établis par la Section Analyse sur la migration et les pays (MILA) de l'ODM (cf. directives de l'ODM "I. Domaine de étrangers", état au 30 septembre 2011, ch. 5.6.4.6). c) En l’espèce, il résulte des pièces versées au dossier que la recourante souffre, sur le plan somatique, d’une polyneuropathie inflamatoire démyélinisante chronique (PIDC), une maladie rare du système nerveux périphérique qui nécessite des soins constants. Cette maladie n’avait pas été diagnostiquée avant la présente procédure. De plus, sur le plan psychique, la recourante présente une symptomatologie dépressive avec tristesse éprouvée, fatigabilité importante avec une irratibilité significative. S’agissant de l’état de santé global de la recourante, la Cour se réfère au témoignage convaincant du Dr K.________. En substance, il ressort de ses déclarations que l’état de santé de la recourante, certes stabilisé, nécessite un suivi médical qu’il serait impossible d’obtenir dans un lieu qui ne dispose pas de structures comparables à celles existant dans le canton de Vaud. En outre, la recourante ne pourrait se passer du soutien de son entourage familial. Ces deux derniers éléments constituent, aux yeux du tribunal, des éléments nouveaux par rapport à la situation de fait qui prévalait auparavant. En particulier, le tribunal a pu se convaincre que la recourante ne pourrait obtenir un encadrement suffisant dans son pays d’origine, qu’il soit institutionnel ou familial. A cela s’ajoute le fait que la fille du recourant a obtenu, par son mariage, une autorisation de séjour en Suisse, et ce en cours de procédure. Il est ainsi patent que la recourante se trouverait seule et complétement démunie si elle devait vivre en Turquie, loin de sa famille proche à l’exception de son fils cadet. Par conséquent, force est de constater que la situation de la recourante s'est modifiée de telle sorte qu'elle est désormais constitutive d’un cas de rigueur au sens de l’art. 30 al. 1 let. f LEtr. Le SPOP est dès lors invité à délivrer une autorisation de séjour à la forme de l’art. 30 al. 1 let. f LEtr en sa faveur ainsi que celle de son fils J.Y._________ (art. 8 CEDH).</w:t>
      </w:r>
    </w:p>
    <w:p>
      <w:r>
        <w:rPr>
          <w:b/>
        </w:rPr>
        <w:t>E. 5</w:t>
      </w:r>
    </w:p>
    <w:p>
      <w:r>
        <w:t>Il résulte des considérants qui précèdent que le recours doit être admis et la décision attaquée annulée, le dossier de la cause étant renvoyé à l'autorité intimée afin qu'elle prenne une nouvelle décision dans le sens des considérants. Il est statué sans frais (art. 49 et 52 LPA-VD). Compte tenu des circonstances, et en particulier des faits survenus postérieurement à la décision entreprise , il n’y a pas lieu d’octroyer des dépens à la recourante. La recourante ayant été mise au bénéfice de l’ assistance judiciaire, une équitable indemnité au conseil juridique désigné d’office pour la procédure, doit être fixée; les frais et l’indemnité seront supportés par le canton, provisoirement (art. 122 al.1 let. a et b du code de procédure civile du 19 décembre 2008 [CPC; RS 272], applicable par renvoi de l’art. 18 al. 5 LPA-VD). En effet, la partie qui a obtenu l’ 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 assistance judiciaire en matière civile [RAJ; RSV 211.02.3]) -, elle comprend le montant de 4’685 fr. 05 (dont 347 fr, 05 de TVA) à titre d'honoraires et celui de 272 fr. 40 (dont 20 fr. 20 de TVA) à titre de débours, ce qui représente un total de 4'957 fr. 45, TVA comprise, conformément à ce qui ressort de la liste des opérations produite par le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