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PE.2013.0440 vom 20. Dezember 2013</w:t>
      </w:r>
    </w:p>
    <w:p>
      <w:r>
        <w:t>VD Tribunal cantonal, 2013-12-20, FR</w:t>
      </w:r>
    </w:p>
    <w:p>
      <w:r>
        <w:rPr>
          <w:b/>
        </w:rPr>
        <w:t xml:space="preserve">Quelle: </w:t>
      </w:r>
      <w:r>
        <w:t>https://mcp.opencaselaw.ch/entscheid/vd_omni_PE.2013.0440</w:t>
      </w:r>
    </w:p>
    <w:p>
      <w:r>
        <w:t>FR: VD_OMNI PE.2013.0440 du 20 décembre 2013</w:t>
      </w:r>
    </w:p>
    <w:p>
      <w:r>
        <w:t>IT: VD_OMNI PE.2013.0440 del 20 dicembre 2013</w:t>
      </w:r>
    </w:p>
    <w:p>
      <w:pPr>
        <w:pStyle w:val="Heading2"/>
      </w:pPr>
      <w:r>
        <w:t>Regeste</w:t>
      </w:r>
    </w:p>
    <w:p>
      <w:r>
        <w:t>A. X.______________ c/Service de la population (SPOP) | Confirmation du refus du SPOP d'entrer en matière sur la demande de réexamen, déposée par le recourant, ressortissant serbe, de sa décision du 4 avril 2011 refusant à l'intéressé l'octroi d'une autorisation de séjour. Le mariage de l'intéressé avec une ressortissante serbe et la naissance de leur fille, ressortissante serbe également, sont certes des faits nouveaux, mais pas déterminants. Le recourant ne peut pas se prévaloir des dispositions relatives au regroupement familial, puisque son épouse et leur fille se trouvent en situation illégale en Suisse, tout comme lui. Recours rejeté dans la mesure de sa recevabilité.</w:t>
      </w:r>
    </w:p>
    <w:p>
      <w:pPr>
        <w:pStyle w:val="Heading2"/>
      </w:pPr>
      <w:r>
        <w:t>Erwägungen</w:t>
      </w:r>
    </w:p>
    <w:p>
      <w:r>
        <w:rPr>
          <w:b/>
        </w:rPr>
        <w:t>E. 1</w:t>
      </w:r>
    </w:p>
    <w:p>
      <w:r>
        <w:t>a) Lorsque, comme en l'espèce, l'autorité saisie d'une demande de réexamen refuse d'entrer en matière, un recours ne peut porter que sur le bien-fondé de ce refus (cf. ATF 126 II 377 consid. 8d p. 395; voir aussi arrêts 2C_172/2013 du 21 juin 2013 consid. 1.4; 2C_504/2013 du 5 juin 2013 consid. 3).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2C_172/2013 du 21 juin 2013 consid. 4.1; 2C_349/2012 du 18 mars 2013 consid. 4.2.1). Un étranger peut se prévaloir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(ATF 135 I 143 consid. 1.3.1 p. 145; 130 II 281 consid. 3.1 p. 285, et les arrêts cités). Aux termes de l'art. 44 de la loi fédérale du 16 décembre 2005 sur les étrangers (LEtr; RS 142.20), l'autorité peut, à certaines conditions, octroyer une autorisation de séjour au conjoint étranger du titulaire d'une autorisation de séjour. b) Le recourant invoque à l'appui de sa requête le fait qu'il a épousé B. X.________, ressortissante serbe, avec laquelle il a eu une fille, C. X.________, ressortissante serbe née à 2******** le 21 juillet 2013. Ces éléments constituent certes des faits nouveaux, mais il ne s'agit cependant pas de faits déterminants. L'intéressé ne peut pas se prévaloir des dispositions relatives au regroupement familial pour vivre en Suisse auprès de son épouse et de leur fille. Ces dernières, qui ne bénéficient pas même d'une autorisation de séjour, se trouvent en situation illégale en Suisse, tout comme le recourant. C'est en conséquence à juste titre que l'autorité intimée n'est pas entrée en matière sur la demande de réexamen déposée par le recourant.</w:t>
      </w:r>
    </w:p>
    <w:p>
      <w:r>
        <w:rPr>
          <w:b/>
        </w:rPr>
        <w:t>E. 2</w:t>
      </w:r>
    </w:p>
    <w:p>
      <w:r>
        <w:t>Manifestement mal fondé, le recours doit être rejeté dans la mesure où il est recevable et la décision attaquée, confirmée, sans qu'il soit nécessaire de procéder à un échange d'écritures (art. 82 LPA-VD). Succombant, le recourant supporte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