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PE.2013.0413 vom 21. November 2013</w:t>
      </w:r>
    </w:p>
    <w:p>
      <w:r>
        <w:t>VD Tribunal cantonal, 2013-11-21, FR</w:t>
      </w:r>
    </w:p>
    <w:p>
      <w:r>
        <w:rPr>
          <w:b/>
        </w:rPr>
        <w:t xml:space="preserve">Quelle: </w:t>
      </w:r>
      <w:r>
        <w:t>https://mcp.opencaselaw.ch/entscheid/vd_omni_PE.2013.0413</w:t>
      </w:r>
    </w:p>
    <w:p>
      <w:r>
        <w:t>FR: VD_OMNI PE.2013.0413 du 21 novembre 2013</w:t>
      </w:r>
    </w:p>
    <w:p>
      <w:r>
        <w:t>IT: VD_OMNI PE.2013.0413 del 21 novembre 2013</w:t>
      </w:r>
    </w:p>
    <w:p>
      <w:pPr>
        <w:pStyle w:val="Heading2"/>
      </w:pPr>
      <w:r>
        <w:t>Regeste</w:t>
      </w:r>
    </w:p>
    <w:p>
      <w:r>
        <w:t>X.________ /Service de la population (SPOP) | Ressortissant kosovar marié à une Suissesse dont il vit séparé depuis deux ans et qui, durant les cinq ans qu'a duré l'union conjugale, n'a fait ménage commun avec elle que quinze mois durant. Dès lors, il ne saurait fonder sur l'art. 42 al. 3 LEtr un droit à la délivrance d'une autorisation d'établissement. Au surplus, c'est en vain que l'on cherche dans son dossier une raison majeure qu'il puisse invoquer à l'appui de sa requête tendant au renouvellement de son permis de séjour. Recours admis et arrêt annulé par ATF 2C_14/2014 du 27 août 2014.</w:t>
      </w:r>
    </w:p>
    <w:p>
      <w:pPr>
        <w:pStyle w:val="Heading2"/>
      </w:pPr>
      <w:r>
        <w:t>Erwägungen</w:t>
      </w:r>
    </w:p>
    <w:p>
      <w:r>
        <w:rPr>
          <w:b/>
        </w:rPr>
        <w:t>E. 1</w:t>
      </w:r>
    </w:p>
    <w:p>
      <w:r>
        <w:t>L'autorité peut renoncer à l'échange d'écritures ou, après celui-ci, à toute autre mesure d'instruction, lorsque, comme en la présente espèce, le recours paraît manifestement irrecevable, bien ou mal fondé (cf. art. 82 al. 1 de la loi vaudoise du 28 octobre 2008 sur la procédure administrative [ LPA-VD; RSV 173.36 ]) .</w:t>
      </w:r>
    </w:p>
    <w:p>
      <w:r>
        <w:rPr>
          <w:b/>
        </w:rPr>
        <w:t>E. 2</w:t>
      </w:r>
    </w:p>
    <w:p>
      <w:r>
        <w:t>Dans ses écritures, le recourant a requis la tenue d’une audience de comparution personnelle, ainsi que l’audition d’un témoin. a) D 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tenir une audience. Les faits sont établis et le litige a trait, comme on le verra ci-dessous, à des questions d’ordre exclusivement juridique, que le Tribunal examine avec un plein pouvoir d’examen (cf. art. 98 LPA-VD). Le Tribunal s'estime en l'espèce suffisamment renseigné sur la base du dossier pour juger en toute connaissance de cause et ne voit en outre pas quels nouveaux éléments utiles à l'affaire, qui n'auraient pu être exposés par écrit, pourraient encore apporter les témoignages sollicités. Dès lors, par appréciation anticipée des preuves, il s’estime en mesure de statuer en connaissance de cause, sans recueillir les explications orales du recourant, ni entendre un témoin.</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kosovar de Serbie, le recourant ne peut pas invoquer en sa faveur un traité; son recours s'examine ainsi uniquement au regard du droit interne, soit la loi fédérale du 16 décembre 2005 sur les étrangers (LEtr; RS 142.20) et ses ordonnances d’application. a) Aux termes de l’art. 42 LEtr, le conjoint étranger d’un ressortissant suisse ainsi que ses enfants célibataires étrangers de moins de 18 ans ont droit à l'octroi d'une autorisation de séjour et à la prolongation de sa durée de validité, à condition de vivre en ménage commun avec lui (al. 1). L'art. 49 LEtr prévoit une exception à l'exigence du ménage commun lorsque la communauté familiale (ou conjugale)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Après un séjour légal ininterrompu de cinq ans, le conjoint a droit à l'octroi d'une autorisation d'établissement (art. 42 al. 3 LEtr). Ce délai ne comprend que la durée du séjour ininterrompu de l’intéressé en Suisse pendant son mariage. Le regroupement familial au sens de cette disposition suppose en outre que les conjoints vivent en ménage commun. Après ce délai de cinq ans, le droit à l'établissement existe même si, ultérieurement, il y a divorce ou décès du conjoint suisse (directive de l'Office fédéral des migrations [ODM] relative à la LEtr "I. Domaine des étrangers", version 1.1.11, état le 1 er janvier 2011 , ch. 6.2.4.1; arrêts PE 2011.00567 du 1 er septembre 2011, consid. 4a; PE.2009.0029 du 21 août 2009 consid. 2a). b) En l’espèce, force est constater que le recourant ne remplit pas les conditions des dispositions précitées. La vie commune avec son épouse a duré une première fois neuf mois tout au plus, soit du 28 septembre 2006, date du mariage, au 1 er mai 2007, date à laquelle Y.________ s’est installée en 8********. Dans l’arrêt 2C_871/2010 du 7 avril 2011, le Tribunal fédéral a du reste relevé que, faute pour le recourant de faire ménage commun avec son épouse, celui-ci ne pouvait en conséquence pas bénéficier du droit à une autorisation de séjour au sens de l'art. 42 al. 1 LEtr. En outre, le Tribunal cantonal avait déjà relevé dans l’arrêt PE.2010.0150, sans être contredit, que les motifs invoqués par le recourant pour justifier l'absence de ménage commun étaient d'ordre économique et ne constituaient pas une raison majeure au sens de l'art. 49 LEtr. Les époux se sont, certes, remis en ménage en avril 2011, avant de se séparer définitivement moins de six mois plus tard, le 1 er septembre de la même année. Il importe peu que son permis de séjour ait été renouvelé dans l’intervalle; l’essentiel est de retenir que le recourant n’a vécu au total que quinze mois aux côtés de son épouse. Du reste, la vie commune a pris fin en septembre 2011 sans aucune perspective de réconciliation. Le recourant se garde même d’évoquer un regroupement familial qui n’est désormais plus d’actualité; il se prévaut à cet égard d’un séjour ininterrompu de cinq ans. Cependant, les époux se sont mariés le 28 septembre 2006 avant de se séparer le 1 er septembre 2011, de sorte que le délai de cinq ans fixé par l'art. 42 al. 3 LEtr n'est pas atteint. En outre, ainsi qu’on l’a vu ci-dessus, ils n’ont, durant cette période, fait ménage commun que quinze mois durant. Dès lors, le recourant ne saurait fonder sur cette disposition un droit à la délivrance d'une autorisation d'établissement. Reste à savoir s’il peut invoquer avec succès d’autres dispositions lui permettant de poursuivre son séjour en Suisse.</w:t>
      </w:r>
    </w:p>
    <w:p>
      <w:r>
        <w:rPr>
          <w:b/>
        </w:rPr>
        <w:t>E. 4</w:t>
      </w:r>
    </w:p>
    <w:p>
      <w:r>
        <w:t>Le recourant se prévaut à cet égard de l’art. 50 al. 1 let. b LEtr, à teneur duquel après dissolution de la famille, le droit du conjoint à l’autorisation de séjour et à la prolongation de celle-ci subsiste lorsque la poursuite du séjour en Suisse s’impose pour des raisons personnelles majeures. 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On rappelle à cet égard que l 'art. 50 al. 1 lit. b et al. 2 LEtr n'a pas pour but de garantir aux étrangers la situation la plus avantageuse pour eux mais, uniquement, à parer à des situations de rigueur (ATF 2C_689/2012 du 5 février 2013 consid. 3.3; 2C_307/2012 du 26 juillet 2012 consid. 4.2, avec références).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p. 349; v. en outre arrêt PE.2009.0398 du 24 mars 2010 ). De même, la mort du conjoint ne constitue pas un motif conduisant nécessairement à la prolongation de l'autorisation en vertu de l'art. 50 al. 1 let. b LEtr; cette situation peut toutefois, suivant les circonstances personnelles auxquelles l’étranger survivant sera exposé en cas de retour dans son pays, impliquer la poursuite du séjour en Suisse (ibid. et ATF 137 II 1 consid. 4.1 p. 8).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En l’occurrence, c’est en vain que l’on cherche dans le dossier du recourant une raison majeure qu’il puisse invoquer à l’appui de sa requête tendant au renouvellement de son permis de séjour. Il vit en Suisse depuis bientôt huit ans; durant les premiers mois toutefois, il y a séjourné de façon illégale. Il n’a pas d’enfant et aucun membre de sa famille ne vit en Suisse; à tout le moins, le contraire n’est pas allégué. Le recourant semble toujours avoir travaillé comme monteur-électricien et actuellement, il est employé par Etablissements Techniques Fragnière (ETF) SA, à Bulle. Lorsqu’ils vivaient ensemble, son épouse a perçu des prestations de l’assistance publique; tel n’est pas son cas au demeurant. Cette circonstance, certes favorable, n’est cependant pas révélatrice d’une intégration exceptionnelle; ceci d’autant moins que, de 2005 à 2008, le recourant a travaillé sans la moindre autorisation, au mépris de l’ordre juridique établi et en dépit de plusieurs contrôles effectués par les autorités. Cela démontre, à l’inverse de ce qu’il soutient, que son intégration en Suisse s’est avérée bien plus aléatoire qu’il ne le prétend. Âgé de trente-quatre ans, le recourant a vécu ses vingt-six premières années dans son pays natal. Il y possède encore toute sa famille, voire des proches avec lesquels il continue d’entretenir des relations. L’essentiel est de constater que la réintégration sociale du recourant dans son pays d’origine est donc loin d’être compromise. Le recourant est apte à travailler au demeurant. La circonstance selon laquelle il pourrait se retrouver sans emploi dans son pays, où la conjoncture se révélerait difficile, ne saurait cependant entrer en considération pour que l’on retienne la présence d’un cas de rigueur. Contrairement à ses explications, le recourant ne se trouve nullement dans un cas de détresse personnelle en raison de la perte de son statut administratif en Suisse. Sa situation ne diffère pas de celle de ses compatriotes appelés à rentrer au pays et confrontés à une situation économique et sociale plus difficiles qu’en Suisse. Au surplus, le recourant, qui n’a pas d’enfant, ne saurait se prévaloir du droit au respect de sa vie privée et familiale, tel que garanti par l’art. 8 § 1 de la Convention du 4 novembre 1950 de sauvegarde des droits de l'homme et des libertés fondamentales (CEDH; RS 0.101).</w:t>
      </w:r>
    </w:p>
    <w:p>
      <w:r>
        <w:rPr>
          <w:b/>
        </w:rPr>
        <w:t>E. 5</w:t>
      </w:r>
    </w:p>
    <w:p>
      <w:r>
        <w:t>Les considérants qui précèdent conduisent par conséquent au rejet du recours, ceci aux frais de son auteur (art. 52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