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PE.2013.0380 vom 28. März 2014</w:t>
      </w:r>
    </w:p>
    <w:p>
      <w:r>
        <w:t>VD Tribunal cantonal, 2014-03-28, FR</w:t>
      </w:r>
    </w:p>
    <w:p>
      <w:r>
        <w:rPr>
          <w:b/>
        </w:rPr>
        <w:t xml:space="preserve">Quelle: </w:t>
      </w:r>
      <w:r>
        <w:t>https://mcp.opencaselaw.ch/entscheid/vd_omni_PE.2013.0380</w:t>
      </w:r>
    </w:p>
    <w:p>
      <w:r>
        <w:t>FR: VD_OMNI PE.2013.0380 du 28 mars 2014</w:t>
      </w:r>
    </w:p>
    <w:p>
      <w:r>
        <w:t>IT: VD_OMNI PE.2013.0380 del 28 marzo 2014</w:t>
      </w:r>
    </w:p>
    <w:p>
      <w:pPr>
        <w:pStyle w:val="Heading2"/>
      </w:pPr>
      <w:r>
        <w:t>Regeste</w:t>
      </w:r>
    </w:p>
    <w:p>
      <w:r>
        <w:t>A. X.________ Y.________/Service de la population (SPOP), Service de l'emploi, Contrôle du marché du travail et protection des travailleurs | Amende de 2'000 fr. prononcée à l'encontre d'un entrepreneur portugais établi en France qui n'a pas annoncé des prestations de service en Suisse. Sanction confirmée dans sa principe et sa quotité: le montant de 2'000 fr. est conforme à la pratique en matière de défaut d'annonce. Recours rejeté. Recours au TF rejeté dans la mesure où il est recevable (ATF 2C_421/2014 du 26.11.2014).</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recourant a émis le souhait de faire entendre deux témoins, savoir une de ses filles et son épouse. La cour ignore sur quels points ces auditions devaient porter. Le recourant n'a rien indiqué à ce sujet. Il a par ailleurs expressément informé la cour le 19 février 2014 qu'il ne se présenterait pas à l'audience du 6 mars 2014, ni personne en son nom. Dès lors que les inspectrices et la témoin Z.________ entendues lors de l'audience ont confirmé pour les premières les explications données par dame Z.________ le 12 juin 2014, pour cette dernière que le recourant et sa fille avaient bien exercé régulièrement une activité chez elle entre les mois de novembre 2012 et mai 2013, et que cette question était la seule litigieuse dans la présente cause, on ne voit pas ce que l'audition des témoins proposés par le recourant auraient pu apporter de plus. L'attitude du recourant consistant à ignorer les interpellations du juge instructeur quant au mode de convocation des témoins proposés, puis à refuser de se présenter ou se faire représenter à l'audience, contrevient par ailleurs à son devoir de collaborer découlant de l'art. 30 LPA-VD. Le tribunal s'estime ainsi suffisamment renseigné sur la base du dossier pour juger cette affaire en toute connaissance de cause, sans devoir encore procéder à l'audition des deux témoins précités.</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Les considérants qui précèdent conduisent au rejet du recours, dans la mesure où il est recevable, et à la confirmation de la décision attaquée. Le recourant, qui succombe, supportera les frais de justice (art. 49 al. 1 LPA-VD). Ceux-ci peuvent être arrêtés à 600 fr. compte tenu de l'indemnité du témoin entendu lors de l'audience du 6 mars 2014 (art. 4 al. 1 5 ème tiret et 8 du Tarif du</w:t>
      </w:r>
    </w:p>
    <w:p>
      <w:r>
        <w:rPr>
          <w:b/>
        </w:rPr>
        <w:t>E. 11</w:t>
      </w:r>
    </w:p>
    <w:p>
      <w:r>
        <w:t>décembre 2007 des frais judiciaires en matière de droit administratif et public – TFJAP; RSV 173.36.5.1). Il n'y a pas lieu d'allouer de dépens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