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PE.2013.0379 vom 26. Mai 2014</w:t>
      </w:r>
    </w:p>
    <w:p>
      <w:r>
        <w:t>VD Tribunal cantonal, 2014-05-26, FR</w:t>
      </w:r>
    </w:p>
    <w:p>
      <w:r>
        <w:rPr>
          <w:b/>
        </w:rPr>
        <w:t xml:space="preserve">Quelle: </w:t>
      </w:r>
      <w:r>
        <w:t>https://mcp.opencaselaw.ch/entscheid/vd_omni_PE.2013.0379</w:t>
      </w:r>
    </w:p>
    <w:p>
      <w:r>
        <w:t>FR: VD_OMNI PE.2013.0379 du 26 mai 2014</w:t>
      </w:r>
    </w:p>
    <w:p>
      <w:r>
        <w:t>IT: VD_OMNI PE.2013.0379 del 26 maggio 2014</w:t>
      </w:r>
    </w:p>
    <w:p>
      <w:pPr>
        <w:pStyle w:val="Heading2"/>
      </w:pPr>
      <w:r>
        <w:t>Regeste</w:t>
      </w:r>
    </w:p>
    <w:p>
      <w:r>
        <w:t>A. X.________/Service de la population (SPOP) | Confirmation du refus du SPOP de délivrer une autorisation de séjour à une ressortissante égyptienne, âgée de 78 ans, souhaitant vivre en Suisse auprès de l'un de ses fils. La recourante ne peut en effet pas se prévaloir de l'art. 28 LEtr: elle ne remplit pas la condition de l'existence de liens particuliers avec la Suisse, la seule présence de proches n'étant selon la jurisprudence pas suffisante. La recourante ne peut par ailleurs pas se prévaloir non plus de l'art. 30 al. 1 let. b LEtr: elle a toujours vécu en Egypte; ses séjours en Suisse chez son fils n'ont jamais dépassé deux mois; malgré les tensions politiques, l'Egypte ne connaît pas une situation de guerre, de guerre civile ou de violence généralisée, qui permettrait de présumer à l'égard de tous les ressortissants de cet Etat l'existence d'une mise en danger concrète. La recourante ne peut enfin tirer aucun argument de l'art. 8 CEDH, dès lors qu'elle ne se trouve pas dans un rapport de dépendance particulier par rapport à son fils.</w:t>
      </w:r>
    </w:p>
    <w:p>
      <w:pPr>
        <w:pStyle w:val="Heading2"/>
      </w:pPr>
      <w:r>
        <w:t>Erwägungen</w:t>
      </w:r>
    </w:p>
    <w:p>
      <w:r>
        <w:rPr>
          <w:b/>
        </w:rPr>
        <w:t>E. 1</w:t>
      </w:r>
    </w:p>
    <w:p>
      <w:r>
        <w:t>Déposé dans le délai de trente jours fixé par l’art. 95 de la loi vaudoise du 28 octobre 2008 sur la procédure administrative (LPA; RS 173.36), le recours est intervenu en temps utile. Il respecte au surplus les conditions formelles énoncées à l’art. 79 LPA-VD.</w:t>
      </w:r>
    </w:p>
    <w:p>
      <w:r>
        <w:rPr>
          <w:b/>
        </w:rPr>
        <w:t>E. 2</w:t>
      </w:r>
    </w:p>
    <w:p>
      <w:r>
        <w:t>Exceptés les cas où une disposition légale prévoit expressément le contrôle de l'opportunité d'une décision, la Cour de céans n'exerce qu'un contrôle en légalité, c'est-à-dire examine si la décision entreprise est contraire à une disposition légale ou réglementaire expresse, ou relève d'un excès ou d'un abus du pouvoir d'appréciation (art. 98 LPA-VD). La LEtr ne prévoyant aucune disposition étendant le pouvoir de contrôle de l'autorité de recours à l'inopportunité, ce motif ne saurait être examiné par la Cour de céans.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307 consid. 2 p. 310 et les arrêts cités).</w:t>
      </w:r>
    </w:p>
    <w:p>
      <w:r>
        <w:rPr>
          <w:b/>
        </w:rPr>
        <w:t>E. 3</w:t>
      </w:r>
    </w:p>
    <w:p>
      <w:r>
        <w:t>La recourante se plaint en premier lieu d'une violation de l'art. 28 LEtr. a) L’art. 28 LEtr pose les conditions que doivent remplir les étrangers qui souhaitent résider en Suisse sans activité lucrative, en tant que rentiers. Il prévoit qu’un étranger qui n’exerce pas d’activité lucrative peut obtenir une autorisation de séjour s’il a l’âge minimum fixé par le Conseil fédéral (let. a), s’il a des liens personnels particuliers avec la Suisse (let. b), s’il dispose de moyens financiers nécessaires (let. c). Ces conditions sont cumulatives. L’art. 25 de l'ordonnance du 24 octobre 2007 relative à l'admission, au séjour et à l'exercice d'une activité lucrative (OASA; RS 142.201) précise que l’âge minimum pour l’admission de rentiers est de 55 ans (al. 1); que les rentiers ont des attaches personnelles avec la Suisse notamment lorsqu’ils peuvent prouver qu’ils ont effectué dans le passé des séjours assez longs en Suisse, notamment dans le cadre de vacances, d’une formation ou dans le cadre d’une activité lucrative (al. 2, let. a) ou lorsqu’ils ont des relations étroites avec des parents proches en Suisse (parents, enfants, petits-enfants, ou frères et sœurs; al. 2, let. b). b) S’agissant des liens personnels particuliers avec la Suisse (lettre b), le Tribunal administratif fédéral a rendu récemment deux arrêts (C-797/2011 du 14 septembre 2012, consid. 9.1.7 et C-6349/2010 du 14 janvier 2013, consid. 9.2.3), dont on peut extraire le passage suivant: "…s’agissant d’un rentier se prévalant de liens personnels particuliers avec la Suisse au sens de l’art. 28 let. b LEtr, la simple présence d’un proche sur le territoire suisse n’est pas en soi de nature à créer des attaches suffisamment étroites avec ce pays sans que n’existent en outre des relations d’une autre nature avec la Suisse. En effet, bien plus que des liens indirects, c’est-à-dire n’existant que par l’intermédiaire de proches domiciliés en Suisse, il importe que le rentier dispose d’attaches en rapport avec la Suisse qui lui soient propres, établies par le développement d’intérêts socioculturels personnels et indépendants (participation à des activités culturelles, liens avec des communautés locales, contacts directs avec des autochtones, par exemple), car seuls de tels liens sont en effet de nature à éviter que l’intéressé ne tombe dans un rapport de dépendance eu égard à ses proches parents, voire d’isolement, ce qui serait au demeurant contraire au but souhaité par le législateur quant à la nature de l’autorisation pour rentier." Cette condition de l'existence de liens personnels ou socioculturels indépendants des proches a été reprise par le ch. 5.3 des Directives sur le domaine des étrangers édictées par l’Office fédéral des migrations (ODM) relatives au séjour sans activité lucrative, dans leur état au 25 octobre 2013. c) En ce qui concerne la condition financière, le ch. 5.3 des directives relève qu'un rentier est réputé disposer de moyens financiers nécessaires s'il est certain d'en bénéficier jusqu'à sa mort (rentes, fortune), au point que l'on peut pratiquement exclure le risque d'assistance publique (décision du 15 février 2001 du Service des recours du DFJP, aujourd'hui remplacé par le Tribunal administratif fédéral, en relation avec l'art. 34 let. e de l’ancienne ordonnance du 6 octobre 1986 limitant le nombre d’étrangers (OLE), abrogée au 1 er janvier 2008 par l’entrée en vigueur de l’OASA); les promesses ou les garanties écrites faites par des membres de la famille résidant dans notre pays, visant à garantir la prise en charge du rentier, ne suffisent pas, dans la mesure où leur mise en exécution reste en pratique sujette à caution; les moyens financiers mis à disposition par des tiers doivent présenter les mêmes garanties que s’il s’agissait des propres ressources du requérant (p. ex. garantie bancaire). Le rentier doit donc disposer, pour subvenir à ses besoins, cas échéant à ceux des membres de sa famille, de moyens financiers propres (rente, fortune). La doctrine confirme que le critère des moyens financiers nécessaires est rempli lorsque le rentier ne dépendra pas de l’aide sociale dans un avenir proche (M. Spescha, H. Thür, A. Zünd et P. Bolzli, Migrationsrecht, 2 ème éd. 2009, ad art. 28 LEtr, n. 4, p. 71). Quant à la jurisprudence rendue sous l’empire de l’art. 34 let. e de l'ancienne ordonnance fédérale du 6 octobre 1986 limitant le nombre des étrangers (OLE) relative à l’exigence des moyens financiers du rentier, elle avait toujours interprété de manière aussi restrictive ce critère, en ce sens que les moyens financiers visés par cette disposition devaient être ceux du rentier étranger et non pas de son entourage ou d’un tiers (voir par exemple les arrêts PE.2006.0395 du 14 février 2007, PE.2006.0272 du 15 juin 2006, consid. 2, PE.2005.0072 du 9 décembre2005, consid. 3, PE 1999.0255 du 30 août 1999; cf. aussi pour plus de détails, Minh Son Nguyen, Droit public des étrangers, Présence, activité économique et statut politique, Berne 2003, p. 241 s, plaidant pour une interprétation plus souple tenant compte des obligations légales d’entretien) . Les promesses d’aide matérielle de tiers, en particulier des proches parents, n’étaient pas non plus déterminantes puisque l’on devait notamment pouvoir attendre d’un rentier au sens de l’art. 34 OLE qu’il puisse subvenir seul à tous ses besoins dans l’hypothèse où il devrait vivre de manière indépendante (l’hypothèse de l’entrée dans un établissement médico-social ne constituant qu'un exemple). Selon la " Détermination du montant de la prise en charge financière au regard des normes de calculs de l'Aide sociale vaudoise ", le montant à prendre en compte pour une personne seule s'élève à 2'100 fr., loyer en sus (à cet égard, voir arrêts PE.2011.0290 du 4 octobre 2011, PE.2009.0572 du 10 mars 2010). d) En l'espèce, il résulte des explications de la recourante que ses précédents séjours en Suisse étaient tous motivés par sa volonté de rendre visite à son fils B. Y.________, établi avec sa famille dans ce pays. La recourante ne prétend pas avoir noué d'autres liens particuliers avec la Suisse. On en déduit qu'elle ne se serait ainsi vraisemblablement pas rendue en Suisse si son fils n'y avait pas résidé. En d'autres termes, ce n'est pas en raison de liens particuliers avec la Suisse que la recourante a déposé une demande d'autorisation de séjour, mais bien pour séjourner auprès de son fils. Comme indiqué plus haut, cette circonstance n'est pas suffisante pour créer un lien suffisamment étroit avec la Suisse. Or, en l'absence d'attaches directes (participation à des activités culturelles, liens avec des communautés locales, contacts directs avec des autochtones autres que les membres de sa famille), on ne saurait considérer que la recourante réalise la condition de l'existence de liens personnels particuliers avec la Suisse au sens de l'art. 28 let. b LEtr. Une des conditions cumulatives fixées à l'art. 28 LEtr faisant défaut, la question – disputée entre les parties – de l'existence de moyens financiers suffisants compte tenu des attestations de prise en charge financière versées au dossier souffre de demeurer indécise. Mal fondé, ce moyen doit être rejeté.</w:t>
      </w:r>
    </w:p>
    <w:p>
      <w:r>
        <w:rPr>
          <w:b/>
        </w:rPr>
        <w:t>E. 4</w:t>
      </w:r>
    </w:p>
    <w:p>
      <w:r>
        <w:t>La recourante invoque également une violation de l'art. 30 al. 1 let. b LEtr. a) Selon l'art. 30 al. 1 let. b LEtr, il est possible de déroger aux conditions d'admission pour tenir compte des cas individuels d'une extrême gravité. Cet article est concrétisé par l’art. 31 OASA. Selon l'alinéa 1 er de cette disposition,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Cette disposition comprend une liste exemplative des critères à prendre en considération pour la reconnaissance de cas individuels d’une extrême gravité. b) L’art. 30 al. 1 let. b LEtr reprend les principes de l’art. 13 let. f de l’ancienne OLE, abrogée le 1 er janvier 2008. On peut dès lors se référer à la jurisprudence y relative (voir en particulier, arrêt PE.2013.0319 du 6 janvier 2014 consid. 4a et les références). Les conditions mises à la reconnaissance d'un cas de rigueur doivent être appréciées restrictivement. Il est nécessaire que l'étranger concerné se trouve dans une situation de détresse personnelle (ATF 130 II 39 consid. 3; 128 II 200 consid. 4 et 5.3).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 ATF 130 II 39 consid. 3 p. 41/42; 128 II 200 consid. 4; 124 II 110 et les arrêts cités ). Parmi les éléments jouant un rôle pour admettre le cas de rigueur, on tiendra compte d'une très longue durée de séjour en Suisse, d'une intégration sociale particulièrement poussée, d'une réussite professionnelle remarquable, d'une maladie grave ne pouvant être soignée qu'en Suisse, de la situation des enfants, notamment d'une bonne intégration scolaire aboutissant après plusieurs années à une fin d'études couronnée de succès. Seront des facteurs allant en sens opposé le fait que l'intéressé n'arrive pas à subsister de manière indépendante et doive recourir à l'aide sociale, ou des liens conservés avec le pays d'origine, par exemple sur le plan familial, de manière à permettre une réintégration plus facile (arrêt PE.2007.0436 du 31 mars 2008 consid. 3 et les références citées). Des motifs médicaux peuvent, selon les circonstances, conduire à la reconnaissance d'un cas individuel d'extrême gravité, lorsque l'intéressé démontre souffrir d'une atteinte sérieuse à la santé nécessitant, pendant une longue période, des soins permanents ou des mesures médicales ponctuelles d'urgence, indisponibles dans le pays d'origine, de sorte qu'un renvoi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et les références). c) En l'espèce, la recourante invoque des problèmes de santé. Elle a produit pour prouver ses allégations un certificat médical du 2 septembre 2013 établi par " Egyptian Special Hospital ". Il en ressort que la recourante souffre d'une otite sévère, lui causant des déséquilibres et des nausées. A l'évidence, une telle pathologie ne constitue pas une " atteinte sérieuse à la santé nécessitant, pendant une longue période, des soins permanents ou des mesures médicales ponctuelles d'urgence, indisponibles dans le pays d'origine " au sens de la jurisprudence. Le certificat médical du 2 septembre 2013 ne fait pas état d'autres maladies (à noter que le certificat médical produit à l'appui de la demande d'autorisation de séjour mentionnait que l'intéressée ne souffrait d'aucune maladie chronique ou critique et que son état de santé général était bon pour son âge). Le seul fait que la recourante ait besoin d'aide dans ses tâches quotidiennes en raison de son âge et d'une mobilité réduite ne suffit pas à fonder un cas individuel d'extrême gravité. La recourante invoque en outre l'état d'insécurité régnant en Egypte. Il est vrai que ce pays traverse depuis 2011 une période de transition politique profonde, marquée par des manifestations et des affrontements sanglants, voire mortels, avec les forces de sécurité (voir les " Conseils aux voyageurs " émis par le Département fédéral des affaires étrangères – DFAE). Malgré ces tensions, l'Egypte ne connaît toutefois actuellement pas une situation de guerre, de guerre civile ou de violence généralisée , qui permettrait de présumer, à propos de tous les requérants provenant de cet Etat, et indépendamment des circonstances de chaque cas particulier, l'existence d'une mise en danger concrète . Le Tribunal administratif fédéral (TAF) l'a confirmé dans un arrêt tout récent du 20 février 2014 (cause D-2054/2013). La recourante ne peut par ailleurs tirer aucun argument de la directive de l'Office des migrations (ODM) du 4 septembre 2013, facilitant l'octroi de visas de visite aux membres de la famille de ressortissants syriens. L'ODM n'a en effet pas édicté de directive similaire par rapport aux ressortissants égyptiens. De plus, cette mesure exceptionnelle a été levée le 29 novembre 2013. La recourante fait valoir encore qu'étant de confession chrétienne, elle est soumise comme de nombreux coptes " à la vindicte haineuse du régime des Frères musulmans ". La Cour européenne des droits de l'homme (Cour EDH) a relevé récemment que les coptes en Egypte ne sont pas tous exposés, de manière générale et indépendamment des cas d'espèce, à des risques de traitements contraires à l'art. 3 CEDH et qu'il faut examiner, pour chaque particulier, si la personne concernée court un risque de persécution dans son pays d'origine (Cour EDH, décision M. E. c. France, requête n o 50094/10, 6 juin 2013). Or, en l'occurrence, la recourante s'est contentée d'affirmations toutes générales. Elle n'a ainsi pas établi avoir subi personnellement des actes de persécution. On relève par ailleurs que les Frères musulmans ne sont plus au pouvoir depuis la destitution de l'ancien président Mohamed Morsi le 3 juillet 2013 et qu'un nouveau gouvernement transitoire a été mis en place avant de nouvelles élections prévues les 26 et 27 mai 2014. Pour le surplus, on relèvera encore que la recourante a toujours vécu en Egypte, que ses séjours en Suisse chez son fils n'ont jamais dépassé deux mois et qu'elle ne peut ainsi se prévaloir ni d'un long séjour en Suisse, ni d'une intégration sociale particulièrement poussée dans ce pays. Mal fondé, ce moyen doit également être rejeté.</w:t>
      </w:r>
    </w:p>
    <w:p>
      <w:r>
        <w:rPr>
          <w:b/>
        </w:rPr>
        <w:t>E. 5</w:t>
      </w:r>
    </w:p>
    <w:p>
      <w:r>
        <w:t>La recourante se prévaut enfin de l'art. 8 CEDH. a) Un étranger peut se prévaloir de l'art. 8 CEDH qui garantit le respect de sa vie privée et familiale, pour s'opposer à une éventuelle séparation de sa famille. Encore faut-il, pour pouvoir invoquer cette disposition, que la relation entre l'étranger et une personne de sa famille ayant le droit de résider durablement en Suisse soit étroite et effective ( ATF 135 I 143 consid. 1.3.1 p. 145; 130 II 281 consid. 3.1 p. 285/et les arrêts cités). Les relations familiales qui peuvent fonder, en vertu de l'art. 8 par. 1 CEDH, un droit à une autorisation de police des étrangers sont avant tout les rapports entre époux ainsi qu'entre parents et enfants mineurs vivant ensemble ( ATF 127 II 60 consid. 1d/aa p. 65). Un étranger majeur ne peut se prévaloir de cette disposition que s'il se trouve dans un état de dépendance particulier par rapport à des membres de sa famille résidant en Suisse en raison, par exemple, d'un handicap (physique ou mental) ou d'une maladie grave ( ATF 129 II 11 consid. 2 p. 13 s.; 120 Ib 257 consid. 1d p. 261). b) En l'espèce, il ressort du certificat médical du 2 septembre 2013 établi par " Egyptian Special Hospital " que la recourante est traitée pour une otite sévère. Ce rapport ne fait pas état d'une autre pathologie. On ne saurait dès lors considérer que la recourante se trouve dans un rapport de dépendance particulier par rapport à son fils en raison de son état de santé. Le seul fait que la recourante ait besoin d'aide dans ses tâches quotidiennes en raison de son âge et d'une mobilité réduite ne suffit pas. La recourante ne peut ainsi se prévaloir de l'art. 8 CEDH. Ce grief doit aussi être rejeté.</w:t>
      </w:r>
    </w:p>
    <w:p>
      <w:r>
        <w:rPr>
          <w:b/>
        </w:rPr>
        <w:t>E. 6</w:t>
      </w:r>
    </w:p>
    <w:p>
      <w:r>
        <w:t>Les considérants qui précèdent conduisent au rejet du recours et à la confirmation de la décision attaquée. La recourante, qui succombe, supportera les frais de justice (art. 49 al. 1 LPA-VD). Il n'y a pas lieu d'allouer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