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PE.2013.0368 vom 12. März 2014</w:t>
      </w:r>
    </w:p>
    <w:p>
      <w:r>
        <w:t>VD Tribunal cantonal, 2014-03-12, FR</w:t>
      </w:r>
    </w:p>
    <w:p>
      <w:r>
        <w:rPr>
          <w:b/>
        </w:rPr>
        <w:t xml:space="preserve">Quelle: </w:t>
      </w:r>
      <w:r>
        <w:t>https://mcp.opencaselaw.ch/entscheid/vd_omni_PE.2013.0368</w:t>
      </w:r>
    </w:p>
    <w:p>
      <w:r>
        <w:t>FR: VD_OMNI PE.2013.0368 du 12 mars 2014</w:t>
      </w:r>
    </w:p>
    <w:p>
      <w:r>
        <w:t>IT: VD_OMNI PE.2013.0368 del 12 marzo 2014</w:t>
      </w:r>
    </w:p>
    <w:p>
      <w:pPr>
        <w:pStyle w:val="Heading2"/>
      </w:pPr>
      <w:r>
        <w:t>Regeste</w:t>
      </w:r>
    </w:p>
    <w:p>
      <w:r>
        <w:t>X.________/Service de la population (SPOP) | Détenteur d'un permis d'établissement qui séjourne à l'étranger. La durée de l'absence retenue par l'autorité est de six mois exactement. En l'absence d'un texte légal absolument clair, l'interdiction du formalisme excessif, de même que les règles générales sur la computation des délais, empêchent qu'un permis ne devienne caduc avant que son détenteur ait passé six mois entiers à l'étranger. En l'occurrence, le recourant est rentré en Suisse le dernier jour du délai de six mois, soit avant son échéance. Son permis d'établissement n'est ainsi pas caduc.</w:t>
      </w:r>
    </w:p>
    <w:p>
      <w:pPr>
        <w:pStyle w:val="Heading2"/>
      </w:pPr>
      <w:r>
        <w:t>Erwägungen</w:t>
      </w:r>
    </w:p>
    <w:p>
      <w:r>
        <w:rPr>
          <w:b/>
        </w:rPr>
        <w:t>E. 1</w:t>
      </w:r>
    </w:p>
    <w:p>
      <w:r>
        <w:t>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SPOP rendues en matière de police des étrangers. 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de la qualité pour recourir.</w:t>
      </w:r>
    </w:p>
    <w:p>
      <w:r>
        <w:rPr>
          <w:b/>
        </w:rPr>
        <w:t>E. 2</w:t>
      </w:r>
    </w:p>
    <w:p>
      <w:r>
        <w:t>a) De manière générale, la législation sur les étrangers prévoit que le droit de séjour ne peut prendre naissance ou subsister que s'il repose sur la présence personnelle de l'étranger (arrêt PE.2013.0058 du 7 octobre 2013 consid. 2a). Dans cette perspective, l'art. 61 al. 2 de la loi fédérale du 16 décembre 2005 sur les étrangers (LEtr; RS 142.20) dispose que si un étranger quitte la Suisse sans déclarer son départ, l'autorisation de séjour ou d'établissement prend fin automatiquement après six mois. L'art. 79 al. 1 de l'ordonnance du Conseil fédéral relative à l'admission, au séjour et à l'exercice d'une activité lucrative du 24 octobre 2007 (OASA; RS 142.201) précise que les délais prévus à l'art. 61 al. 2 LEtr ne sont pas interrompus en cas de séjour temporaire en Suisse à des fins de visite, de tourisme ou d'affaires. Quant aux directives édictées par l'Office fédéral des migrations relatives à la loi sur les étrangers (état au 25 octobre 2013), elles prévoient que le séjour en Suisse est réputé terminé si l'étranger transfère le centre de ses intérêts hors de Suisse (chiffre 3.3.4). Tel sera généralement le cas lorsque l'étranger concerné a résilié ses rapports de travail, dénoncé son contrat de bail, retiré son capital de prévoyance professionnelle ou pris un emploi à l'étranger. Dans ce sens, le maintien de l'autorisation de séjour est subordonné à la présence de son titulaire en Suisse durant la majeure partie de l'année ( ibid .). D'après la jurisprudence bien établie à propos de l'art. 9 al. 3 let. c LSEE abrogé par la LEtr mais qui reste applicable sous l'empire de l'art. 61 al. 2 LEtr, l'autorisation d'établissement prend fin lorsque l'étranger séjourne à l'étranger de manière ininterrompue pendant six mois consécutifs, quels que soient les causes de cet éloignement et les motifs de l'intéressé (par exemple même en cas d’emprisonnement à l’étranger, ATF 120 Ib 369 consid. 2c et d p. 372 s., 112 Ib 1 consid. 2a p. 2 s.; arrêt 2C_43/2011 du 4 février 2011 consid. 2, arrêt 2C_408/2010 du 15 décembre 2010 consid. 3.3). b) En l’espèce, le SPOP a retenu que le recourant avait déplacé le centre de ses intérêts en 3****** du 1 er avril au 30 septembre 2008. Il s’est basé pour ce faire sur les premières déclarations du recourant, qui a, par la suite, reporté la date de son départ au 14 mai 2008. Le SPOP s’en est tenu au 1 er avril 2008 comme date de départ, alors même que le système SYMIC avait enregistré - déjà en 2010 - la date du 14 mai 2008. Le dossier ne contient pas de pièces permettant de confirmer ou d’infirmer de manière évidente la date exacte de départ de Suisse du recourant. Il n’apparaît toutefois pas nécessaire de trancher cette question, au vu des considérations qui suivent. Quant la date du retour, soit le 30 septembre 2008, elle n’a pas été remise en cause par les parties durant la procédure. La durée de l’absence retenue par l’autorité est de six mois exactement. Or la loi dispose que l'autorisation de séjour ou d'établissement prend fin automatiquement " après " six mois d’absence. Cette formule est à tout le moins sujette à interprétation et ne peut pas d’emblée être comprise en ce sens que l’autorisation est caduque déjà si l’étranger ne revient en Suisse que le dernier jour du délai, soit avant que la période de six mois ne soit révolue. De l’avis du tribunal, en l’absence d’un texte légal absolument clair, l’interdiction du formalisme excessif, de même que les règles générales sur la computation des délais, empêchent qu’un permis d’établissement ne devienne caduc avant que son détenteur ait passé six mois entiers à l’étranger. En l’occurrence, le recourant, revenu en Suisse le 30 septembre 2008, est rentré en Suisse le dernier jour du délai de six mois instauré par la LEtr, soit avant son échéance. Son permis d’établissement n’est ainsi pas caduc à raison de l’art. 61 al. 2 LEtr.</w:t>
      </w:r>
    </w:p>
    <w:p>
      <w:r>
        <w:rPr>
          <w:b/>
        </w:rPr>
        <w:t>E. 3</w:t>
      </w:r>
    </w:p>
    <w:p>
      <w:r>
        <w:t>Le SPOP a invoqué divers délits qui justifieraient le refus d’une autorisation de séjour. Cette question n’est plus pertinente, dès lors que le tribunal a constaté que le permis d’établissement du recourant n’était pas caduc. Il convient cependant encore, par surabondance, d’examiner si ces délits pourraient justifier la révocation de l’autorisation d’établissement du recourant. a) Selon l'art. 63 al. 1 LEtr, l'autorisation d'établissement ne peut être révoquée que si les conditions visées à l'art. 62, let. a ou b sont remplies (let. a), si l'étranger attente de manière très grave à la sécurité et l'ordre publics en Suisse ou à l'étranger, les met en danger ou représente une menace pour la sécurité intérieure ou extérieure de la Suisse (let. b), si lui-même ou une personne dont il a la charge dépend durablement et dans une large mesure de l'aide sociale (let. c). L'autorisation d'établissement d'un étranger qui séjourne en Suisse légalement et sans interruption depuis plus de quinze ans ne peut être révoquée que pour les motifs mentionnés à l'al. 1 let. b et à l'art. 62 let. b (art. 63 al. 2 LEtr). Selon la jurisprudence, une peine privative de liberté est considérée comme de longue durée au sens de l'art. 62 let. b LEtr lorsqu'elle dépasse un an d'emprisonnement, étant précisé qu'elle doit résulter d'un seul jugement pénal ( ATF 137 II 297 consid. 2 p. 299; 135 II 377 consid. 4.2 p. 379 ss), indépendamment du fait qu'elle ait été prononcée avec un sursis complet ou partiel, respectivement sans sursis (ATF 2C_651/2009 du 1 er mars 2010 consid. 4.1.2; 2C_515/2009 du 27 janvier 2010 consid. 2.1). Dans le cas présent, le recourant, de par sa condamnation pénale prononcée le 24 juin 2010 lui infligeant une peine privative de liberté de 12 mois avec sursis pendant cinq ans , faisant suite à trois condamnations à 10 jours-amende, ne remplit pas, en se trouvant juste en-dessous de la limite inférieure, les conditions permettant de révoquer son autorisation d'établissement, au sens des dispositions mentionnées ci-dessus. Son permis ne saurait donc lui être révoqué pour ce motif. Toujours d'après la jurisprudence, attente de manière très grave à l'ordre public ou le met en danger au sens de l'art. 63 al. 1 let. b LEtr, l'étranger dont les actes lèsent ou compromettent des biens juridiques particulièrement importants, tels que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2C_373/2012 du 28 septembre 2012 consid. 3.2; 2C_238/2012 du 30 juillet 2012 consid. 3.3.1; 2C_117/2012 du 11 juin 2012 consid. 4.4.2; voir aussi FF 2002 3469, p. 3565 s.). La question de savoir si l'étranger en cause est disposé ou apte à se conformer à l'ordre juridique suisse ne peut être résolue qu'à l'aide d'une appréciation globale de son comportement ( ATF 137 II 297 consid.</w:t>
      </w:r>
    </w:p>
    <w:p>
      <w:r>
        <w:rPr>
          <w:b/>
        </w:rPr>
        <w:t>E. 3.3</w:t>
      </w:r>
    </w:p>
    <w:p>
      <w:r>
        <w:t>p. 304; arrêt 2C_310/2011 du 17 novembre 2011 consid. 5.1). En l’espèce, pour ce qui concerne la nature des infractions commises par le recourant, il faut constater que celui-ci a porté atteinte à l’intégrité corporelle de tiers (tentative de brigandage ainsi que, à deux reprises, violence ou menace contre les autorités et les fonctionnaires). Le jugement du 24 juin 2010 retient la gravité du braquage projeté, en raison de la violence déployée et de la pluralité des auteurs. Il relève cependant aussi la prise de conscience du recourant, sa bonne collaboration à l’établissement des faits et les engagements pris pour indemniser les plaignants. Sur le plan de la gravité de l’atteinte portée à l’ordre public, il faut considérer qu’il s’agit d’une atteinte grave, mais qui n’est pas d’une gravité qualifiée . b) En outre, le refus de l'autorisation de séjour ou d'établissement, respectivement sa révocation, ne se justifie que si la pesée des intérêts à effectuer dans le cas d'espèce fait apparaître la mesure comme proportionnée aux circonstances ( ATF 135 II 377 consid. 4.3 p. 381). Dans la pesée des intérêts publics et privés en présence, il convient de prendre en considération la gravité de la faute commise par l'étranger, son degré d'intégration, respectivement la durée de son séjour en Suisse et le préjudice que l'intéressé et sa famille (notamment naissance et âge des enfants; connaissance du fait que ces relations devront être vécues à l'étranger en raison d'activités délictuelles) auraient à subir en raison de la mesure (cf. art. 96 al. 1 LEtr; ATF 135 II 377 consid. 4.3 p. 381). La peine infligée par le juge pénal est le premier critère servant à évaluer la gravité de la faute et à procéder à la pesée des intérêts (arrêt 2C_265/2011 du 27 septembre 2011 consid. 6.1.1). La durée de présence en Suisse d'un étranger constitue un autre critère très important. Plus cette durée est longue, plus les conditions pour prononcer la révocation de l’autorisation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De même, si la révocation de l'autorisation d'établissement d'un étranger qui réside de longue date en Suisse ne peut être décidée qu'avec retenue, elle n'est toutefois pas exclue en cas d'activité pénale grave ou répétée ( ATF 135 II 377 consid. 4.4 et 4.5 p. 382 s.; 2C_265/2011 du 27 septembre 2011 consid. 6.1.1). On tiendra alors particulièrement compte de l'intensité des liens de l'étranger avec la Suisse et des difficultés de réintégration dans son pays d'origine (ATF 130 II 176 consid. 4.4.2 p. 190, 125 II 521 consid. 2b p. 523; 2C_201/2012 du 20 août 2012 consid. 4.1, 2C_238/2012 du 30 juillet 2012 consid. 2.3 et 4.8). En l’espèce, il s’agit d’un homme jeune (33 ans) et en bonne santé, mais qui séjourne en Suisse depuis une très longue période, à savoir 22 ans. Il y a effectué sa scolarité et sa formation. Ses amis, sa compagne, et le centre de ses intérêts se trouvent également en Suisse. Le refus de renouveler son permis d’établissement apparaît dès lors comme disproportionné, au vu de la gravité relative des infractions commises et du bon comportement du recourant depuis 2008.</w:t>
      </w:r>
    </w:p>
    <w:p>
      <w:r>
        <w:rPr>
          <w:b/>
        </w:rPr>
        <w:t>E. 4</w:t>
      </w:r>
    </w:p>
    <w:p>
      <w:r>
        <w:t>En conclusion, le recours doit être admis, la décision attaquée annulée et la cause renvoyée à l’autorité intimée pour nouvelle décision constatant que l’autorisation d’établissement du recourant n’est pas caduque et renouvelant celle-ci. Vu l’issue du pourvoi, les frais du présent arrêt resteront à la charge de l'Etat (art. 49, 91 et 99 LPA-VD ) . L'Etat de Vaud, par la caisse de l'autorité intimée, versera au recourant des dépens pour l'intervention de son avocat (art. 55 al. 1, 91 et 99 LPA-VD), arrêtés à 1’250 francs.</w:t>
      </w:r>
    </w:p>
    <w:p>
      <w:r>
        <w:rPr>
          <w:b/>
        </w:rPr>
        <w:t>E. 5</w:t>
      </w:r>
    </w:p>
    <w:p>
      <w:r>
        <w:t>Il n’est pas nécessaire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dès lors que selon la liste des opérations déposée le 29 janvier 2014 par le conseil du recourant l’indemnité qui serait due est inférieure au montant alloué ci-dessus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