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PE.2013.0367 vom 4. April 2014</w:t>
      </w:r>
    </w:p>
    <w:p>
      <w:r>
        <w:t>VD Tribunal cantonal, 2014-04-04, FR</w:t>
      </w:r>
    </w:p>
    <w:p>
      <w:r>
        <w:rPr>
          <w:b/>
        </w:rPr>
        <w:t xml:space="preserve">Quelle: </w:t>
      </w:r>
      <w:r>
        <w:t>https://mcp.opencaselaw.ch/entscheid/vd_omni_PE.2013.0367</w:t>
      </w:r>
    </w:p>
    <w:p>
      <w:r>
        <w:t>FR: VD_OMNI PE.2013.0367 du 4 avril 2014</w:t>
      </w:r>
    </w:p>
    <w:p>
      <w:r>
        <w:t>IT: VD_OMNI PE.2013.0367 del 4 aprile 2014</w:t>
      </w:r>
    </w:p>
    <w:p>
      <w:pPr>
        <w:pStyle w:val="Heading2"/>
      </w:pPr>
      <w:r>
        <w:t>Regeste</w:t>
      </w:r>
    </w:p>
    <w:p>
      <w:r>
        <w:t>A. X.________ Y.________/Service de la population (SPOP) | Ressortissante sénégalaise ayant obtenu une autorisation de séjour à la suite de son mariage avec un ressortissant suisse. Séparation après moins de 3 ans de vie commune. Révocation de l'autorisation de séjour de l'intéressée confirmée. Aucune raison personnelle majeure n'impose la poursuite de son séjour en Suisse. En particulier, les allégations de la recourante selon lesquelles elle serait en danger en cas de renvoi dans son pays d'origine (car elle aurait échappé à un mariage traditionnel forcé) ne sont pas établies. Recours rejeté. Recours au TF rejeté dans la mesure où il est recevable (2C_500/2014).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w:t>
      </w:r>
    </w:p>
    <w:p>
      <w:r>
        <w:rPr>
          <w:b/>
        </w:rPr>
        <w:t>E. 2</w:t>
      </w:r>
    </w:p>
    <w:p>
      <w:r>
        <w:t>La recourante reproche au SPOP d'avoir fait abstraction de la possibilité d'une reprise prochaine de la vie commune. Elle explique que la suspension de la vie commune trouve son origine dans les pressions exercées par les parents de B. Y.________, qui n'ont jamais accepté cette union de leur fils. La recourante se dit ainsi convaincue que la vie commune pourra reprendre dès que ses beaux-parents cesseront de s'immiscer dans sa vie conjugale.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du 10 janvier 2011 consid. 2.2 et 2C_575/2009 du 1 er juin 2010 consid. 3.5). Le Tribunal fédéral a jugé qu’une séparation de plus d'une année laisse présumer que la communauté familiale a cessé d'exister (TF 2C_560/2011 du 20 février 2012; 2C_575/2009 du 1 er juin 2010 consid. 3.5). Le but de l'art. 49 LEtr n'est en effet pas de permettre aux époux étrangers de vivre séparés en Suisse pendant une longue période et exige que la communauté familiale soit maintenue (TF 2C_556/2010 du 2 décembre 2010 consid. 4.1). b) En l'espèce, les époux Y.________-X.________ se sont séparés en mai 2012, soit il y a bientôt deux ans. Il n'ont depuis jamais repris la vie commune. La séparation ne s'explique pour un autre motif que la mésentente au sein du couple. Compte tenu de la durée de la séparation, une reprise de la vie commune n'apparaît pas envisageable. Les explications de la recourante sur les causes de la désunion peinent à convaincre. Son époux paraît déterminé sinon à divorcer, du moins à poursuivre la vie séparée. Ainsi, la recourante ne peut plus invoquer l'art. 42 al. 1 LEtr pour obtenir le maintien de son autorisation de séjour.</w:t>
      </w:r>
    </w:p>
    <w:p>
      <w:r>
        <w:rPr>
          <w:b/>
        </w:rPr>
        <w:t>E. 3</w:t>
      </w:r>
    </w:p>
    <w:p>
      <w:r>
        <w:t>La recourante fait également grief au SPOP d'avoir nié l'existence de raisons personnelles majeures au sens de l'art. 50 al. 1 let. b LEtr. Elle soutient que sa réintégration sociale au Sénégal serait fortement compromise. Elle expose que ses parents, qui l'ont contrainte très jeune à se marier "traditionnellement" avec un ancien du village, l'ont reniée et menacée à la suite de son mariage avec B. Y.________ et son départ pour la Suisse. La recourante estime qu'elle n'a ainsi plus d'attache substantielle avec son pays d'origine et que son intégrité physique pourrait même être menacée en cas de renvoi au Sénégal. Elle indique également avoir consenti des efforts importants en vue de son intégration en Suisse, en entreprenant notamment un pré-stage professionnel en vue de poursuivre une formation de soignante. Elle relève encore n'avoir jamais eu recours à l'aide sociale ni commis d'infraction. 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 p. 348 ss).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précité, consid. 5.2.1).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2C_1000/2012 du 21 février 2013 consid. 5.2.1).Les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 ss). b) En l'espèce, la recourante ne fait pas valoir avoir été victime de violence conjugale. C'est d'ailleurs plutôt son époux qui pourrait se plaindre à ce sujet. En effet, l'ordonnance de mesures provisionnelles du 30 juillet 2012 a retenu l'existence de telles violences commises par la recourante à l'endroit de son époux. Une interdiction de l'approcher lui a même été signifiée. S'agissant de la réintégration de la recourante au Sénégal, il paraît douteux qu'elle soit fortement compromise, contrairement à ce qu'elle tente de soutenir. En effet, la recourante se trouve en Suisse depuis moins de trois ans. Elle a vécu dans son pays d'origine pendant plus de 25 ans. Sa famille y vit également, notamment son fils âgé de quatre ans. La recourante a dès lors toutes ses attaches au Sénégal, si bien qu'un retour dans ce pays ne serait pas pour elle constitutif d'un déracinement. Quant au moyen tiré de l'existence d'un danger qui menacerait la recourante en cas de retour dans son pays, force est d'admettre qu'il est peu convaincant. Il résulte de la lettre de D.________ du 4 août 2013 et des explications de la recourante que celle-ci aurait subi un mariage traditionnel forcé dans son pays et qu'elle serait parvenue à en échapper en se réfugiant chez D.________, tout en craignant que ses parents ne la contraignent à retourner chez son "mari" . C'est dire si, à suivre ses explications, la recourante s'était déjà distancée de sa famille, particulièrement de ses parents, avant que ne naisse sa liaison avec B. Y.________. Pour le surplus, la recourante n'apporte pas la preuve que sa situation à l'égard de ses parents se serait encore péjorée suite à son mariage et son départ vers la Suisse. Notamment, aucun élément du dossier ne permet d'établir avec suffisamment de force probante qu'elle serait menacée en cas de retour au Sénégal, si bien que son renvoi ne serait pas exigible au sens de l'art. 83 LEtr. On peut d'ailleurs sur ce point s'étonner que la recourante ne se soit prévalue de ce moyen qu'au stade de son mémoire de recours, et qu'elle n'en ait jamais fait état ni lors de son audition par la police, ni dans le cadre de ses déterminations au SPOP suite à la lettre de ce service l'informant de son intention de révoquer son autorisation de séjour. Enfin et quoi qu'il en soit, rien n'empêche la recourante de s'établir à son retour ailleurs que dans la ville de ses parents. Au regard de ces éléments, rien ne s'oppose au retour au Sénégal de la recourante, qui devrait parfaitement être en mesure de se réintégrer tant professionnellement que socialement. C'est ainsi à juste titre que le SPOP a nié l'existence de raisons personnelles majeures au sens de l'art. 50 al. 1 let. b LEtr et qu'elle a révoqué l'autorisation de séjour de la recourante.</w:t>
      </w:r>
    </w:p>
    <w:p>
      <w:r>
        <w:rPr>
          <w:b/>
        </w:rPr>
        <w:t>E. 4</w:t>
      </w:r>
    </w:p>
    <w:p>
      <w:r>
        <w:t>Les considérants qui précèdent conduisent au rejet du recours et à la confirmation de la décision attaquée. a) Compte tenu de ses ressources, la recourante a été mise au bénéfice de l'assistance judiciaire par décision du 11 octobre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Christian Dénériaz peut être arrêtée, compte tenu de la liste des opérations produite, à un montant de 2'154 fr. 60, soit 1'980 fr. d'honoraires (11h à 180 fr.), 16 fr. 20 de débours et 158 fr. 40 de TVA (8%), montant que l'on peut arrondir à 2'160 francs. b) Les frais de justice, arrêtés à 500 fr. (art. 4 al. 1 5 ème tiret du Tarif du 11 décembre 2007 des frais judiciaires en matière de droit administratif et public – TFJAP;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la recourante étant rendu attentive au fait qu'elle est tenue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