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PE.2013.0365 vom 6. Dezember 2013</w:t>
      </w:r>
    </w:p>
    <w:p>
      <w:r>
        <w:t>VD Tribunal cantonal, 2013-12-06, FR</w:t>
      </w:r>
    </w:p>
    <w:p>
      <w:r>
        <w:rPr>
          <w:b/>
        </w:rPr>
        <w:t xml:space="preserve">Quelle: </w:t>
      </w:r>
      <w:r>
        <w:t>https://mcp.opencaselaw.ch/entscheid/vd_omni_PE.2013.0365</w:t>
      </w:r>
    </w:p>
    <w:p>
      <w:r>
        <w:t>FR: VD_OMNI PE.2013.0365 du 6 décembre 2013</w:t>
      </w:r>
    </w:p>
    <w:p>
      <w:r>
        <w:t>IT: VD_OMNI PE.2013.0365 del 6 dicembre 2013</w:t>
      </w:r>
    </w:p>
    <w:p>
      <w:pPr>
        <w:pStyle w:val="Heading2"/>
      </w:pPr>
      <w:r>
        <w:t>Regeste</w:t>
      </w:r>
    </w:p>
    <w:p>
      <w:r>
        <w:t>X._____________ c/Service de la population (SPOP) | Refus d'autorisation de séjour en application de l'art. 30 al. 1 let. b LEtr. Le recourant a séjourné en Suisse 9 ans, respectivement 5 ans de manière ininterrompue, ce séjour étant cependant essentiellement illégal ou le fait des procédures engagées. Il ne maîtrise pas le français et son intégration professionnelle ne peut pas être qualifiée d'excellente. Il n'a par ailleurs ni épouse ni enfant et il n'allègue pas entretenir de liens particuliers avec la Suisse qui pourraient justifier une exception aux mesures de limitation du nombre d'étrangers. Il n'invoque pas non plus de problèmes de santé. Âgé de 34 ans, il est arrivé en Suisse à 19 ans, avant d'en repartir à 23 ans puis de revenir à 29 ans, de sorte qu'il ne devrait pas rencontrer de difficultés pour se réintégrer dans son pays d'origine, le Kosovo. Recours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 litige porte sur le refus d'octroyer au recourant une autorisation de séjour en application de l'art. 30 al. 1 let. b LEtr. a) Selon cette disposition,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 a.  de l'intégration du requérant; b.  du respect de l'ordre juridique suisse par le réquérant;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ATF 2A.69/2007 du 10 mai 2007, 2A.45/2007 du 17 avril 2007).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ATF 2A.69/2007 du 10 mai 2007 consid. 3, 2A.45/2007 du 17 avril 2007). b) En l'espèce, le recourant ne répond notamment pas aux conditions d'admission en Suisse prévues aux art. 21 LEtr (ordre de priorité) et 23 LEtr (qualifications personnelles). Il ne le conteste pas, mais fait valoir que cette dernière disposition ne s'aurait s'appliquer à l'examen de sa demande, fondée sur l'art. 30 LEtr. Il reproche à l'autorité intimée d'avoir retenu l'absence de qualifications professionnelles particulières au sens de l'art. 23 LEtr. Effectivement, la situation du recourant doit être examinée au regard de l'art. 30 al. 1 let. b LEtr et des critères énumérés à l'art. 31 al. 1 OASA, ainsi que de la jurisprudence relative à ces dispositions. Le recourant est entré une première fois en Suisse en 1998 et il a déposé une demande d'asile le 7 octobre 2002 seulement, avant de la retirer et de quitter le pays le 19 octobre 2002. Il est par la suite entré une nouvelle fois en Suisse en août 2008 et s'est vu refuser une autorisation de séjour par décision du SPOP du 16 mars 2009. Cette décision a été confirmée par la CDAP le 9 juin 2010 et le recours formé devant le Tribunal fédéral a été déclaré irrecevable le 5 août 2010. Le recourant, qui s'est alors vu impartir un délai pour quitter la Suisse, a continué à y travailler et à y séjourner sans disposer des autorisations nécessaires. Le 27 septembre 2012, il a finalement déposé une requête tendant à l'octroi d'une autorisation de séjour en application de l'art. 30 al. 1 let. b LEtr, laquelle lui a été refusée par décision du SPOP du 14 août 2013, objet de la présente procédure. Si le recourant a séjourné 9 ans, respectivement 5 ans depuis 2008, en Suisse, c'est cependant essentiellement de manière illégale ou en raison des procédures engagées. Or, les séjours illégaux en Suisse ne sont pas pris en compte lors de l'examen de la situation personnelle d'extrême gravité et le recourant ne saurait donc tirer parti de la durée de son séjour en Suisse pour obtenir l'autorisation sollicitée. Le recourant allègue par ailleurs respecter l'ordre juridique, disposer d'un logement, parler le français et avoir adopté un mode de vie suisse. Afin d'établir sa bonne intégration professionnelle et sociale, il a en particulier fourni au SPOP divers documents attestant de ses revenus et de l'absence de poursuite ainsi que deux "appels pour la régularisation" émanant de personnes membres de sociétés locales de sa commune de domicile et de voisins. Toutefois, il ressort du dossier que le recourant a été condamné pénalement pour séjour illégal et exercice d'une activité lucrative sans autorisation. De plus, il résulte de "l'appel pour la régularisation" signé de membres de sociétés locales, de l'attestation établie par 2.************* Sàrl ainsi que des propres déclarations du recourant (cf. recours ch. 10 p. 2) que celui-ci ne maîtrise pas encore le français. Quoi qu'il en soit, le fait pour un étranger d'avoir séjourné en Suisse pendant une assez longue période, de s'y être bien intégré socialement et professionnellement et de s'être comporté correctement ne suffit pas, à lui seul, pour retenir un cas personnel d'extrême gravité selon la jurisprudence. Concernant en particulier son intégration professionnelle, le recourant estime que l'on ne saurait exiger qu'elle soit exceptionnelle, condition incompatible avec le sens et le but de l'art. 30 al. 1 let. b LEtr. Il se réfère à cet égard à un arrêt du Tribunal administratif fédéral (ATAF C-3418/2011 du 11 juillet 2013) relatif à la régularisation d'un couple de ressortissants équatoriens vivant en Suisse depuis 2000, respectivement depuis 2001, ainsi que de leurs trois enfants, nés en Suisse en 2002, 2006 et 2012. Il expose qu'après un examen de la situation des enfants, les Juges administratifs fédéraux ont porté leur attention sur celle des parents, lesquels n'ont pas fait état de qualifications professionnelles particulières mais ont toujours été indépendants financièrement. Il ajoute que dans le cadre de l'examen global, en tenant compte de l'existence des enfants, le Tribunal administratif fédéral a finalement jugé que l'absence d'intégration professionnelle exceptionnelle des parents n'était pas un motif rédhibitoire pour l'ensemble de la famille. En premier lieu, il convient de relever que dans cet arrêt, après avoir examiné la situation des parents du point de vue de leur intégration professionnelle, sociale et de leur comportement, le Tribunal administratif fédéral a retenu que ces éléments à eux seuls ne permettaient pas l'octroi d'une autorisation de séjour. Il a ensuite examiné la situation des enfants et jugé que pour l'aînée, un retour contraint dans son pays d'origine serait une mesure d'une rigueur excessive. Compte tenu de la situation de cette enfant et de la famille dans son ensemble, en particulier du point de vue des facultés d'intégration démontrées, il a jugé que l'octroi d'une autorisation était justifié. En l'occurrence, la situation du recourant est tout autre, puisqu'il n'a ni épouse ni enfant. S'agissant de sa situation professionnelle, il allègue avoir travaillé pour le compte d'un maraîcher du 1 er décembre 2008 au 29 novembre 2009, puis comme aide ferrailleur dès le 29 septembre 2011. Il n'indique en revanche pas au moyen de quelles ressources il a vécu durant près de deux ans entre fin novembre 2009 et fin septembre 2011. A cet égard, il résulte de l'extrait du compte individuel AVS qu'il a travaillé six mois en 2010. En 2013, le recourant a de surcroît sollicité l'octroi d'indemnités de l'assurance-chômage, qui lui ont été refusées à défaut d'aptitude au placement (cf. courriers du Service de l'emploi des 28 juin et 6 août 2013). Outre que l'intégration professionnelle du recourant n'est pas exceptionnelle, elle ne peut donc pas non plus être qualifiée d'excellente comme ce fut le cas dans l'arrêt auquel il se réfère. Par ailleurs, actuellement âgé de 34 ans, le recourant est arrivé en Suisse pour la première fois à l'âge de 19 ans, avant d'en repartir à 23 ans, puis de revenir à 29 ans. Il a donc passé la plus grande partie de son existence dans son pays d'origine, en particulier toute sa jeunesse, de sorte qu'il ne devrait pas avoir de peine à s'y réintégrer ni rencontrer plus de difficultés qu'un autre compatriote pour y trouver du travail. Pour le surplus, le recourant n'allègue pas entretenir de liens particuliers avec la Suisse qui pourraient justifier une exception aux mesures de limitation du nombre des étrangers, étant rappelé que les relations d'amitié, de travail ou de voisinage qu'il a pu nouer normalement sont insuffisantes à cet égard. Il n'invoque pas non plus de problèmes de santé. Dans ces circonstances, l'autorité intimée n'a pas violé l'art. 30 al. 1 let. b LEtr en considérant que le recourant ne remplissait pas les conditions pour se voir octroyer une autorisation de séjour pour cas d'extrême gravité.</w:t>
      </w:r>
    </w:p>
    <w:p>
      <w:r>
        <w:rPr>
          <w:b/>
        </w:rPr>
        <w:t>E. 3</w:t>
      </w:r>
    </w:p>
    <w:p>
      <w:r>
        <w:t>Il résulte de ce qui précède que le recours, entièrement mal fondé, doit être rejeté et la décision attaquée confirmée. Il appartiendra au SPOP de fixer un nouveau délai de départ au recourant. Vu le sort de la cause, un émolument judiciaire est mis à la charge de celui-ci (art. 46 al. 3 et art.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