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PE.2013.0347 vom 9. Dezember 2013</w:t>
      </w:r>
    </w:p>
    <w:p>
      <w:r>
        <w:t>VD Tribunal cantonal, 2013-12-09, FR</w:t>
      </w:r>
    </w:p>
    <w:p>
      <w:r>
        <w:rPr>
          <w:b/>
        </w:rPr>
        <w:t xml:space="preserve">Quelle: </w:t>
      </w:r>
      <w:r>
        <w:t>https://mcp.opencaselaw.ch/entscheid/vd_omni_PE.2013.0347</w:t>
      </w:r>
    </w:p>
    <w:p>
      <w:r>
        <w:t>FR: VD_OMNI PE.2013.0347 du 9 décembre 2013</w:t>
      </w:r>
    </w:p>
    <w:p>
      <w:r>
        <w:t>IT: VD_OMNI PE.2013.0347 del 9 dicembre 2013</w:t>
      </w:r>
    </w:p>
    <w:p>
      <w:pPr>
        <w:pStyle w:val="Heading2"/>
      </w:pPr>
      <w:r>
        <w:t>Regeste</w:t>
      </w:r>
    </w:p>
    <w:p>
      <w:r>
        <w:t>A. X.________ Y.________/Service de la population (SPOP) | Ressortissant portugais, arrivé en Suisse à l'âge de 36 ans, condamné à une peine privative de liberté de 2 ans, avec sursis pendant 5 ans, ainsi qu'à une peine pécuniaire de 100 jours-amende pour utilisation abusive d'une installation de télécommunication, menaces qualifiées, violation de domicile et viol qualifié commis sur son ex-femme. Confirmation de la révocation de son autorisation de séjour. Le recourant a certes consulté un psychiatre. Il semble toutefois avoir entrepris ce suivi surtout pour les besoins de la procédure pénale et l'a interrompu après 5 mois seulement, ce qui est largement insuffisant pour empêcher que le recourant, confronté à une nouvelle situation de rupture, ne repasse à l'acte. Il présente ainsi une menace concrète et actuelle pour l'ordre public au sens de l'art. 5 par. 1 annexe I ALCP. La révocation apparaît également justifiée sous l'angle du principe de proportionnalité en dépit de la relation étroite et effective qu'il entretient avec sa fille de 13 ans dans le cadre du droit de visite.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l'audition d'un témoin. a) Tel qu’il est garanti par l’art. 29 al. 2 de la Constitution fédérale de la Confédération suisse du 18 avril 1999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b) Le recourant a requis l'audition de son frère, F. X.________ Y.________. Ce dernier devait "renseigner utilement le tribunal sur l'intensité des liens entre le recourant et sa fille B" . La cour ne donnera pas suite à cette réquisition. En effet, l'autorité intimée ne conteste pas que le recourant entretient une relation étroite avec sa fille. Des pièces ont été produites à ce sujet, dont il n'y a pas lieu de s'écarter. Partant, l'utilité de ce témoignage n'est pas démontrée, s'agissant de venir confirmer un fait qui est tenu pour établi.</w:t>
      </w:r>
    </w:p>
    <w:p>
      <w:r>
        <w:rPr>
          <w:b/>
        </w:rPr>
        <w:t>E. 3</w:t>
      </w:r>
    </w:p>
    <w:p>
      <w:r>
        <w:t>a) Ressortissant portugais, le recourant peut se prévaloir de l'Accord du 21 juin 1999 entre, d'une part, la Confédération suisse, et, d'autre part, la Communauté européenne et ses Etats membres sur la libre circulation des personnes (ALCP; RS 0.142.112.681). La loi fédérale du 16 décembre 2005 sur les étrangers (LEtr; RS 142.20) n'est applicable aux ressortissants des Etats membres de la Communauté européenne que dans la mesure où l'ALCP n'en dispose pas autrement ou lorsque la loi prévoit des dispositions plus favorables (art. 2 al. 2). L'ALCP ne réglementant pas la révocation de l'autorisation de séjour UE/AELE, l'art. 62 LEtr est applicable ( Laurent Merz, Le droit de séjour selon l'ALCP et la jurisprudence du Tribunal fédéral, RDAF 2009 I p. 300, ainsi que les références citées ). Aux termes de l'art. 62 LEtr, l'autorité compétente peut révoquer une autorisation de séjour notamment si l'étranger a été condamné à une peine privative de liberté de longue durée – soit à une peine dépassant un an d'emprisonnement (ATF 135 II 377 consid. 4.2 p. 380 s.), indépendamment du fait qu'elle ait été prononcée avec ou sans sursis (ATF 2C_915/2010, du 4 mai 2011 consid. 3.1) – ou a fait l'objet d'une mesure pénale prévue aux art. 64 ou 61 CP (let. b) ou s'il attente de manière grave ou répétée à la sécurité et l'ordre publics en Suisse ou à l'étranger, les met en danger ou représente une menace pour la sécurité intérieure ou extérieure de la Suisse (let. c). L'art. 80 al. 1 let. a de l'ordonnance fédérale du 24 octobre 2007 relative à l'admission, au séjour et à l'exercice d'une activité lucrative (OASA; RS 142.201) précise qu'il y a notamment atteinte à la sécurité et à l'ordre publics suisses au sens de l'art. 62 let. c LEtr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Selon la jurisprudence, attente de manière très grave à l'ordre public ou le met en danger au sens de l'art. 63 al. 1 let. b LEtr, circonstances conduisant à la révocation d'une autorisation d'établissement et a fortiori à celle d'une autorisation de séjour, l'étranger dont les actes lèsent ou compromettent des biens juridiques particulièrement importants, tels que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p. 303 s.; 2C_373/2012 du 28 septembre 2012 consid. 3.2; 2C_238/2012 du 30 juillet 2012 consid. 3.3.1; 2C_117/2012 du 11 juin 2012 consid. 4.4.2; voir aussi FF 2002 3469, p. 3565 s.). b)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trois directives citées - dont la plus importante est la directive 64/221/CEE -, ainsi que par la jurisprudence y relative de la Cour de justice des Communautés européennes (ci-après: la Cour de justice ou CJCE) rendue avant la signature de l'accord le 21 juin 1999 (cf. art. 5 par. 2 annexe I ALCP en relation avec l'art. 16 al. 2 ALCP; au sujet de la prise en considération des arrêts de la Cour de justice postérieurs à cette date, cf. ATF 130 II 1 consid. 3.6 p. 9 ss, 113 consid. 5.2 p. 119 s. et les références citées). Conformément à la jurisprudence de la Cour de justice,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136 II 5 consid. 4.2 p. 20; 134 II 10 consid. 4.3 p. 24; 130 II 176 consid. 3.4.1, 4.2 et 4.3.1 et les références). Selon les circonstances, la jurisprudence admet néanmoins que le seul fait du comportement passé de la personne concernée puisse réunir les conditions de pareille menace actuelle (ATF 130 II 176 consid. 3.4.1 p. 184).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qui est essentiel, ne doit, en réalité, pas être admis trop facilement. Il faut bien plutôt l'apprécier en fonction de l'ensemble des circonstances du cas et, en particulier, de la nature et de l'importance du bien juridique menacé, ainsi que de la gravité de l'atteinte qui pourrait y être portée. L'évaluation de ce risque sera d'autant plus rigoureuse que le bien juridique menacé est important (ATF 136 II 5 consid. 4.2 p. 20; 130 II 493 consid. 3.3 p. 499 s. et les références).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d'actes de violence criminelle et d'infractions contre l'intégrité sexuelle (arrêts 2C_238/2012 du 30 juillet 2012 consid. 2.3; 2C_492/2011 du 6 décembre 2011 consid. 4.1; 2C_473/2011 du 17 octobre 2011 consid. 2.2; 2A.308/2004 du 4 octobre 2004 consid. 3.3). c) Tant en application de l'ALCP que de la LEtr, il faut encore que la pesée des intérêts publics et privés effectuée dans le cas d'espèce fasse apparaître la mesure comme proportionnée aux circonstances. A cet égard, il faut prendre en considération la situation personnelle de l'étranger ainsi que son degré d'intégration (art. 96 al. 1 LEtr), mais également la gravité de la faute, la durée du séjour en Suisse ainsi que les inconvénients que l'intéressé et sa famille pourraient subir (ATF 135 II 377 consid. 4.3 p. 381). La nécessité de procéder à un examen de la proportionnalité de la mesure tendant à empêcher le recourant à séjourner en Suisse découle aussi de l'art. 8 par. 2 de la Convention de sauvegarde des droits de l'homme et des libertés fondamentales du 4 novembre 1950 (CEDH; RS 0.101).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Les considérants qui précèdent conduisent au rejet du recours et à la confirmation de la décision attaquée. a) Compte tenu de ses ressources, le recourant a été mis au bénéfice de l'assistance judiciaire par décision du</w:t>
      </w:r>
    </w:p>
    <w:p>
      <w:r>
        <w:rPr>
          <w:b/>
        </w:rPr>
        <w:t>E. 10</w:t>
      </w:r>
    </w:p>
    <w:p>
      <w:r>
        <w:t>septembre 2013.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l'assistance judicaire en matière civile – RAJ; RSV 211.02.3 – applicable par renvoi de l'art. 18 al. 5 LPA-VD). En l'occurrence, Me Marie-Pomme Moinat a annoncé avoir consacré 5 h 10 aux opérations de la cause et Me Martin Brechbühl, avocat-stagiaire en son étude, 11 h 20, ce qui paraît approprié aux nécessités du cas. L'indemnité de conseil d'office de Me Marie-Pomme Moinat sera en conséquence arrêtée à un montant de 2'457 fr. 25, soit 2'176 fr. 65 d'honoraires (5 h 10 x 180 fr. + 11 h 20 x 110 fr.), 98 fr. 60 de débours et 182 fr. de TVA (8%), montant que l'on peut arrondir à 2'460 francs. b) Les frais de justice, arrêtés à 500 fr. (art. 4 al. 1, 5 ème tiret, du Tarif du 11 décembre 2007 des frais judiciaires en matière de droit administratif et public – TFJAP;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 CPC; RS 272 – , applicable par renvoi de l'art. 18 al. 5 LPA-VD). c) L'indemnité de conseil d'office et les frais de justice sont supportés provisoirement par le canton (cf. art. 122 al. 1 let. a du code de procédure civile du 19 décembre 2008 – CPC; RS 272 – ,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en tenant compte des montants payés à titre de contribution mensuelle depuis le début de la procédure. d) Compte tenu de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