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PE.2013.0342 vom 18. November 2013</w:t>
      </w:r>
    </w:p>
    <w:p>
      <w:r>
        <w:t>VD Tribunal cantonal, 2013-11-18, FR</w:t>
      </w:r>
    </w:p>
    <w:p>
      <w:r>
        <w:rPr>
          <w:b/>
        </w:rPr>
        <w:t xml:space="preserve">Quelle: </w:t>
      </w:r>
      <w:r>
        <w:t>https://mcp.opencaselaw.ch/entscheid/vd_omni_PE.2013.0342</w:t>
      </w:r>
    </w:p>
    <w:p>
      <w:r>
        <w:t>FR: VD_OMNI PE.2013.0342 du 18 novembre 2013</w:t>
      </w:r>
    </w:p>
    <w:p>
      <w:r>
        <w:t>IT: VD_OMNI PE.2013.0342 del 18 novembre 2013</w:t>
      </w:r>
    </w:p>
    <w:p>
      <w:pPr>
        <w:pStyle w:val="Heading2"/>
      </w:pPr>
      <w:r>
        <w:t>Regeste</w:t>
      </w:r>
    </w:p>
    <w:p>
      <w:r>
        <w:t>X.______________ c/Service de la population (SPOP) | Ressortissant kosovar ayant épousé une compatriote titulaire d'un permis d'établissement, dont il s'est séparé deux ans et trois mois après le mariage. Son droit au maintien de l'autorisation de séjour a pris fin, dès lors que la période de concubinage précédant le mariage ne saurait être assimilée à la notion d'union conjugale au sens où l'entend l'art. 50 al. 1 LEtr. Au surplus, c'est en vain que l'on cherche dans son dossier une raison majeure qu'il puisse invoquer à l'appui de sa requête tendant au renouvellement de son permis de séjour. Le recourant a accumulé des dettes importantes, à l'égard des assurances sociales obligatoires notamment; à cela s'ajoute qu'avant son mariage, il a continué à travailler durant trois ans sans la moindre autorisation, au mépris de l'ordre juridique établi et en dépit de plusieurs contrôles effectués par les autorités. Au vu de ce qui précède, le recourant peut d'autant moins prétendre à la délivrance d'un permis d'établissement. Recours au Tribunal fédéral rejeté (2C_1213/2013 du 6 janvier 2014).</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kosovar de Serbie, le recourant ne peut pas invoquer en sa faveur un traité; son recours s'examine ainsi uniquement au regard du droit interne, soit la loi fédérale du 16 décembre 2005 sur les étrangers (LEtr; RS 142.20) et ses ordonnances d’application.</w:t>
      </w:r>
    </w:p>
    <w:p>
      <w:r>
        <w:rPr>
          <w:b/>
        </w:rPr>
        <w:t>E. 2</w:t>
      </w:r>
    </w:p>
    <w:p>
      <w:r>
        <w:t>a) A teneur de l’art. 43 de la loi fédérale du 16 décembre 2005 sur les étrangers (LEtr; RS 142.20), le conjoint du titulaire d’une autorisation d’établissement a droit à l’octroi d’une autorisation de séjour et au renouvellement de celle-ci, à condition de vivre en ménage commun avec son conjoint (al. 1); après un séjour légal ininterrompu de cinq ans, le conjoint a droit à une autorisation d’établissement (al. 2). L’exigence du ménage commun prévue aux art. 42 à 44 n’est pas applicable lorsque la communauté familiale est maintenue et que des raisons majeures justifiant l’existence de domiciles séparés peuvent être invoquées (art. 49 LEtr). L'art. 50 al. 1 let. a LEtr prévoit qu'après dissolution de la famille, le droit du conjoint à une autorisation de séjour en vertu de l'art. 43 LEtr subsiste si l'union conjugale a duré au moins trois ans et que l'intégration est réussie (let. a) ou la poursuite du séjour en Suisse s'impose pour des raisons personnelles majeures (let. b) . La durée de l'union conjugale d'au moins trois ans, requise par la disposition précitée, se calcule depuis la date du mariage, à condition que la cohabitation ait lieu en Suisse, jusqu'à ce que les époux cessent d'habiter sous le même toit ( ATF 136 II 133 consid. 3.2 i.f. et 3.3 p. 117 ss).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notamment que le ressortissant étranger ait effectivement fait ménage commun avec son conjoint durant trois années de leur mariage passées en Suisse (ATF 136 II 113 consid. 3.3.5 p. 120; ATF 2C_735/2010 du 1er février 2011 consid. 4.1). La durée de trois ans vaut de façon absolue, quand bien même la fin de la vie conjugale serait intervenue quelques jours ou semaines seulement avant l'expiration de ce délai (ATF 2C_735/2010 consid. 4.1 et les arrêts cités).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arrêt PE.2011.0186 du 16 août 2011). b) En l’occurrence, tant et a ussi longtemps que le recourant a vécu sous le même toit que son épouse, il disposait d’un droit à l’autorisation de séjour au regard de l’art. 43 al. 1 LEtr. Ce droit s’est toutefois éteint puisque la vie commune a pris fin, ce qui n’est du reste pas contesté. Le recourant fait cependant valoir que les conditions du renouvellement seraient de toute façon réalisées à cet égard. En ajoutant la période durant laquelle il a vécu avec Y.________ avant de l’épouser, l’union conjugale aurait, selon lui, duré au moins trois ans. Tel n’est clairement pas le cas; la période de concubinage précédant le mariage ne saurait être assimilée à la notion d’union conjugale au sens où l’entend l’art. 50 al. 1 LEtr. Du reste, cette assimilation aurait pour conséquence de devoir tenir compte d’une période durant laquelle le recourant séjournait sans droit en Suisse, ce dont il ne saurait se prévaloir (v. dans ce sens, arrêts PE.2009.0361 du 23 octobre 2009;  PE.2007.0519 du 24 septembre 2008).</w:t>
      </w:r>
    </w:p>
    <w:p>
      <w:r>
        <w:rPr>
          <w:b/>
        </w:rPr>
        <w:t>E. 3</w:t>
      </w:r>
    </w:p>
    <w:p>
      <w:r>
        <w:t>Il reste cependant à savoir si d’autres dispositions peuvent permettent au recourant d'obtenir un titre de séjour en Suisse. Le recourant se prévaut à cet égard de l’art. 50 al. 1 let. b LEtr. Il fait valoir que la poursuite de son séjour en Suisse s’imposerait pour des raisons personnelles majeures. a)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348ss). Les raisons personnelles majeures visées par l’art. 50 al. 1 let. b LEtr sont notamment données lorsque le conjoint est victime de violence conjugale et que la réintégration sociale dans le pays de provenance semble fortement compromise (art. 50 al. 2 LEtr).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 77 al. 4 OASA qu'à l'art.</w:t>
      </w:r>
    </w:p>
    <w:p>
      <w:r>
        <w:rPr>
          <w:b/>
        </w:rPr>
        <w:t>E. 4</w:t>
      </w:r>
    </w:p>
    <w:p>
      <w:r>
        <w:t>LEtr. a) Aux termes de l'art. 50 al. 3 LEtr, le délai d'octroi de l'autorisation d'établissement est réglé à l'art. 34 LEtr. A teneur de l'art. 34 al. 4 LEtr, l'autorisation d'établissement peut être octroyée au terme d'un séjour ininterrompu de cinq ans au titre d'une autorisation de séjour lorsque l'étranger s'est bien intégré en Suisse, en particulier lorsqu'il a de bonnes connaissances d'une langue nationale. Se pose la question de savoir dans quelle mesure l'expression " s'est bien intégré en Suisse " de l'art. 34 al. 4 LEtr doit être interprétée plus restrictivement que l'exigence d'une " intégration réussie " au sens de l'art. 50 al. 1 let. a LEtr. Quand bien même la version allemande de ces deux dispositions utilise la même terminologie d'" erfolgreiche Integration ", le Tribunal administratif fédéral a jugé qu'en matière d'octroi anticipé d'une autorisation d'établissement, l'autorité compétente se devait d'accorder une attention particulière au degré d'intégration du requérant (ATAF C-7683/2008 du 29 mars 2010 consid. 6.1). Reprenant l'avis d'une partie de la doctrine qui s'est exprimée à ce sujet, le Tribunal administratif fédéral a précisé que plus le statut juridique sollicité confère des droits étendus au requérant, plus les exigences liées au niveau d'intégration sont élevées (ATAF C-7683/2008 précité, plus références; cf. également arrêt PE.2011.0328 du 31 mai 2012). b) En l'occurrence, c’est à juste titre que l’autorité intimée a refusé de délivrer au recourant une autorisation de séjour au sens de l'art. 77 al. 1 LEtr, dans la mesure où, comme on l’a vu ci-dessus, l’intégration de celui-ci n'est pas réussie. Dès lors, et conformément à la jurisprudence précitée, le recourant peut d'autant moins prétendre à l’octroi une autorisation d'établissement à titre anticipé au sens de l'art. 34 al. 4 LEtr.</w:t>
      </w:r>
    </w:p>
    <w:p>
      <w:r>
        <w:rPr>
          <w:b/>
        </w:rPr>
        <w:t>E. 5</w:t>
      </w:r>
    </w:p>
    <w:p>
      <w:r>
        <w:t>Il suit de ce qui précède que le recours doit être rejeté et la décision attaquée, confirmée. Le recourant succombant, un émolument judiciaire sera mis à sa charge (art. 52 al. 1 et 49 al. 1 de la loi du 28 octobre 2008 sur la procédure administrative - LPA-VD; RSV 173.36).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