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PE.2013.0333 vom 9. April 2014</w:t>
      </w:r>
    </w:p>
    <w:p>
      <w:r>
        <w:t>VD Tribunal cantonal, 2014-04-09, FR</w:t>
      </w:r>
    </w:p>
    <w:p>
      <w:r>
        <w:rPr>
          <w:b/>
        </w:rPr>
        <w:t xml:space="preserve">Quelle: </w:t>
      </w:r>
      <w:r>
        <w:t>https://mcp.opencaselaw.ch/entscheid/vd_omni_PE.2013.0333</w:t>
      </w:r>
    </w:p>
    <w:p>
      <w:r>
        <w:t>FR: VD_OMNI PE.2013.0333 du 9 avril 2014</w:t>
      </w:r>
    </w:p>
    <w:p>
      <w:r>
        <w:t>IT: VD_OMNI PE.2013.0333 del 9 aprile 2014</w:t>
      </w:r>
    </w:p>
    <w:p>
      <w:pPr>
        <w:pStyle w:val="Heading2"/>
      </w:pPr>
      <w:r>
        <w:t>Regeste</w:t>
      </w:r>
    </w:p>
    <w:p>
      <w:r>
        <w:t>X.______________, Y.______________, Z.______________/Service de la population (SPOP) | Ne constitue pas un cas d'extrême gravité celui du recourant, ressortissant du Kosovo âgé de 30 ans, souffrant d'une affection psychiatrique. Même si l'accident de trafic dont il a été victime en Suisse a dû influencer son état psychologique, c'est davantage la précarité de sa situation sur le plan de son droit de séjour qui constitue la cause principale de son état. Il ne ressort pas du dossier qu'il nécessiterait un traitement particulièrement lourd ou pointu qui ne pourrait pas être poursuivi au Kosovo. Ce pays dispose en effet des infrastructures médicales nécessaires pour la prise en charge de l'épisode dépressif sévère dont est atteint le recourant. La présence en Suisse du recourant n'est pas nécessaire pour assurer sa défense dans le cadre de l'action en réparation du dommage qui est actuellement pendante devant le Tribunal d'arrondissement de La Côte.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En l’espèce, il y a lieu d’examiner si les recourants peuvent se prévaloir de l’art. 30 al. 1 let. b LEtr, à teneur duquel il est possible de déroger aux conditions d’admission afin de tenir compte des cas individuels d’une extrême gravité ou d’intérêts publics majeurs. a) L'art. 31 al. 1 OASA, qui complète, selon son titre marginal, l'art. 30 al. 1 let. b LEtr (mais également l’art. 50 al. 1 let. b LEtr ; sur la pertinence du caractère approprié de la mention de ce dernier article à l’art. 31 OASA, cf. arrêt du TF 2C_216/2009 consid. 2.2),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l'on peut se référer à la jurisprudence développée sous l'empire de l'ancien art. 13 let. f de l'ordonnance fédérale du 6 octobre 1986 limitant le nombre des étrangers (OLE), abrogée dès le 1 er janvier 2008 (arrêt PE.2010.0599 du 10 mars 2011 consid. 3a/aa et les réf. citées). La jurisprudence n'admet que restrictivement l'existence d'un cas personnel d'extrême gravité. L'étranger doit se trouver dans un cas de détresse personnelle. Il ne suffit pas que, comme d'autres compatriotes appelés à rentrer dans le pays d'origine, l'étranger se voit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que l'on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directives de l’ODM « Domaine des étrangers », état au 25 octobre 2013, ch. 5.6.1). b)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 128 II 200 consid. 5.3 p. 209 ; arrêt PE.2011.0175 du 21 octobre 2011). Pour juger de l’état de santé des personnes concernées, on peut se référer à des rapports médicaux, des certificats médicaux, des rapports émanant de centres de soins, de services sociaux ou encore des rapports établis par la Section Analyse sur la migration et les pays (MILA) de l’ODM (cf. directives de l’ODM « I. Domaine des étrangers », état au 25 octobre 2013, ch. 5.6.4.6). c) En l’espèce, le dossier contient le rapport médical établi par la Dresse Fatmire Camaj en date du 16 juin 2013, qui stipule que le recourant présente continuellement une symptomatologie dépressive sévère sans toutefois de symptômes psychotiques. Elle précise que le diagnostic d’épisode dépressif sévère repose sur la présence des trois symptômes typiques, à savoir l’humeur dépressive, la diminution de l’intérêt pour et du plaisir et l’augmentation de la fatigabilité. Ces trois symptômes typiques sont associés à d’autres symptômes tels que l’inapp.ence, des troubles du sommeil avec des réveils fréquents, un état de détresse associé soit à une agitation soit à un ralentissement marqué. Selon la Dresse Fatmire Camaj, ces symptômes se sont considérablement aggravés depuis le jour où le recourant a été arrêté pour séjour illégal. Elle précise que cette angoisse a été telle qu’elle a provoqué chez sont patient des idées suicidaires répétitives et que depuis lors il se montre très instable. Il convient donc d’examiner si l’état de santé du recourant s’est péjoré au point de faire obstacle au renvoi.</w:t>
      </w:r>
    </w:p>
    <w:p>
      <w:r>
        <w:rPr>
          <w:b/>
        </w:rPr>
        <w:t>E. 3</w:t>
      </w:r>
    </w:p>
    <w:p>
      <w:r>
        <w:t>En l’espèce, le recourant considère que sa situation psychologique nécessite un encadrement thérapeutique qui ne peut pas être garanti au Kosovo. Il soutient par conséquent qu’un retour forcé dans son pays d’origine porterait une atteinte sérieuse à son intégrité psychique. L’autorité intimée, pour sa part, estime que les informations contenues au dossier ne permettent pas d’admettre qu’un renvoi induirait une dégradation rapide de l’état de santé du recourant, au point de conduire d’une manière certaine à la mise en danger concrète de sa vie ou à une atteinte sérieuse, durable et notablement plus grave de son intégrité physique. Dans le certificat médical du 16 juin 2013, la Dresse Fatmire Camaj relève certes que, dans l’état actuel de la santé psychique du recourant, un retour au Kosovo pourrait avoir une issue fatale, en raison d’un risque suicidaire. Cette affirmation doit être toutefois pondérée au vu de plusieurs éléments. L’on ne saurait douter que l’accident dont a été victime le recourant a dû influencer son état psychologique, il apparaît cependant que c’est davantage la précarité de sa situation sur le plan de son droit de séjour qui constitue la cause principale de son état. Selon la jurisprudence, les troubles dépressifs réactionnels liés à la perspective du retour dans leur pays d'origine sont couramment observés chez les personnes dont la demande d'asile ou d'autorisation de séjour a été rejetée et ne constituent pas, dans la règle, un obstacle sérieux à l'exécution du renvoi (voir en particulier les arrêts du Tribunal administratif fédéral D-1821/2008 du 7 mai 2009, D-8099/2008 du 12 août 2009, D-2214/2009 du 21 août 2009 et D-2183/2009 du 24 août 2009). Le fait que le recourant souffre d’une affection psychiatrique (épisode dépressif sévère) ne semble pas d'une gravité propre à constituer un obstacle à l'exécution du renvoi au sens de la jurisprudence citée ci-dessus (voir en particulier TAF D-1821/2008 et C-3819/2007 précités). En particulier, il n'apparaît pas qu'elle soit d'une intensité telle qu’elle nécessite un traitement particulièrement lourd ou pointu, qui ne pourrait pas être poursuivi dans le pays d'origine du recourant. A cet égard le tribunal relève qu’au Kosovo, la réhabilitation du système de soins des troubles psychiques est l'une des priorités du Ministère de la santé. Les besoins en la matière sont en effet importants, les troubles d'origine psychique étant largement répandus et les moyens pour y faire face encore insuffisants. Cela étant,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arrêt PE.2011.0368 du 4 avril 2012 ainsi que les arrêts du Tribunal administratif fédéral D-1372/2013 du 26 septembre 2013 consid. 6.3.2 et E-4187/2012 du 6 novembre 2012 consid. 5.6.2 et les références citées). Par conséquent, le tribunal constate qu’au vu des informations à sa disposition, le Kosovo dispose des infrastructures médicales nécessaires pour la prise en charge de l’épisode dépressif sévère dont est atteint le recourant. Ce dernier pourra ainsi bénéficier d’un suivi médical suffisant dans son pays d’origine, même si les soins donnés et les médicaments prescrits ne correspondent pas toujours aux standards élevés de qualité prévalant en Suisse (cf. à ce sujet également l’arrêt du Tribunal fédéral 2C 925/2011 du 22 juin 2012 consid. 5.3 et la jurisprudence citée ainsi que l’arrêt du Tribunal administratif fédéral C-5631/2013 du 5 mars 2014). Il apparaît ainsi que l’état de santé du recourant ne constitue pas un cas d’extrême rigueur au sens de l’art. 30 al. 1 let. b LEtr.</w:t>
      </w:r>
    </w:p>
    <w:p>
      <w:r>
        <w:rPr>
          <w:b/>
        </w:rPr>
        <w:t>E. 4</w:t>
      </w:r>
    </w:p>
    <w:p>
      <w:r>
        <w:t>Le recourant fait valoir que son renvoi ne serait pas raisonnablement exigible aux motifs qu’il a intenté contre l’auteur de l’accident, survenu en novembre 2010, et l’assureur de celui-ci une action en réparation du dommage subi, procédure qui serait actuellement pendante auprès du Tribunal d’arrondissement de La Côte. S'agissant de son intérêt à demeurer en Suisse pour défendre ses droits dans le cadre des procédures liées à son accident, le tribunal considère que la présence du recourant n’est pas nécessaire pour assurer sa défense. En effet, il peut se faire représenter par un mandataire professionnel ou effectuer des séjours de nature touristique (ATF 2C_138/2007 du 17 août 2009, consid. 4 ; ATF 2C_156/2007 du 30 juillet 2007 consid. 4.2). Cette appréciation vaut également au stade du renvoi, qui ne saurait être considéré comme impossible, illicite ou pas raisonnablement exigible pour ce motif.</w:t>
      </w:r>
    </w:p>
    <w:p>
      <w:r>
        <w:rPr>
          <w:b/>
        </w:rPr>
        <w:t>E. 5</w:t>
      </w:r>
    </w:p>
    <w:p>
      <w:r>
        <w:t>Il résulte des considérants qui précèdent que le recours doit être rejeté et la décision attaquée maintenue. Le recours étant rejeté, il n’y a pas lieu d’allouer des dépens (art. 55 al. 1 LPA-VD).</w:t>
      </w:r>
    </w:p>
    <w:p>
      <w:r>
        <w:rPr>
          <w:b/>
        </w:rPr>
        <w:t>E. 6</w:t>
      </w:r>
    </w:p>
    <w:p>
      <w:r>
        <w:t>Il convient enfin de statuer sur l’indemnité due au conseil d’office des recourants (art. 18 al. 5 LPA-VD, art. 39 al. 5 du Code de droit privé judiciaire vaudois du 12 janvier 2010 [CDPJ ; RSV 211.02], art. 2 al. 4 du règlement du Tribunal cantonal du 7 décembre 2010 sur l’assistance judiciaire en matière civile [RAJ ; RSV 211.02.3]). L’avocat qui procède au bénéfice de l’assistance judiciaire dans le Canton de Vaud peut prétendre à un tarif horaire de 180 fr. (art. 2 al. 1 RAJ) et aux débours figurant sur la liste d’opérations et des débours (art. 3 al. 1 RAJ). En l’occurrence, l’indemnité de Me Paul-Arthur Treyvaud peut être arrêtée, compte tenu de la liste d’opérations et des débours, à un montant total de 1'688.30 fr., correspondant à 1’500 fr. d’honoraires, 63.30 fr. de débours et 125 fr. de TVA (8%). L’indemnité de conseil d’office est supportée provisoirement par le canton (cf. art. 122 al. 1 let a du code de procédure civile du 19 décembre 2008 – CPC ; RS 272 – applicable par renvoi de l’art. 18 al. 5 LPA-VD), les recourants étant rendus attentifs au fait qu’ils sont tenus de rembourser le montant ainsi avancé dès qu’ils seront en mesure de le faire (art. 124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