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PE.2013.0313 vom 17. Oktober 2013</w:t>
      </w:r>
    </w:p>
    <w:p>
      <w:r>
        <w:t>VD Tribunal cantonal, 2013-10-17, FR</w:t>
      </w:r>
    </w:p>
    <w:p>
      <w:r>
        <w:rPr>
          <w:b/>
        </w:rPr>
        <w:t xml:space="preserve">Quelle: </w:t>
      </w:r>
      <w:r>
        <w:t>https://mcp.opencaselaw.ch/entscheid/vd_omni_PE.2013.0313</w:t>
      </w:r>
    </w:p>
    <w:p>
      <w:r>
        <w:t>FR: VD_OMNI PE.2013.0313 du 17 octobre 2013</w:t>
      </w:r>
    </w:p>
    <w:p>
      <w:r>
        <w:t>IT: VD_OMNI PE.2013.0313 del 17 ottobre 2013</w:t>
      </w:r>
    </w:p>
    <w:p>
      <w:pPr>
        <w:pStyle w:val="Heading2"/>
      </w:pPr>
      <w:r>
        <w:t>Regeste</w:t>
      </w:r>
    </w:p>
    <w:p>
      <w:r>
        <w:t>X.______________ c/Service de la population (SPOP) | Confirmation du refus de renouveler l'autorisation de séjour d'un ressortissant congolais ayant vécu moins de trois ans avec son épouse, de nationalité suisse, qui n'a aucune attache particulière avec la Suisse et qui dispose d'une formation d'ingénieur. Le recourant faisait partie dans son pays de la commission électorale et les circonstances dans lesquelles il a quitté cet organisme public demeurent floues; le SPOP s'est toutefois engagé à transmettre son dossier à l'ODM en vue de la délivrance d'une admission provisoire (recours admis et arrêt annulé par ATF 2C_1062/2013).</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congolais, le recourant ne peut pas invoquer en sa faveur un traité; son recours s'examine ainsi uniquement au regard du droit interne, soit la loi fédérale du 16 décembre 2005 sur les étrangers (LEtr; RS 142.20) et ses ordonnances d’application.</w:t>
      </w:r>
    </w:p>
    <w:p>
      <w:r>
        <w:rPr>
          <w:b/>
        </w:rPr>
        <w:t>E. 2</w:t>
      </w:r>
    </w:p>
    <w:p>
      <w:r>
        <w:t>a) Aux termes de l’art. 42 LEtr, le conjoint d’un citoyen suisse a droit à l’octroi d’une autorisation de séjour et au renouvellement de celle-ci, à condition de vivre en ménage commun avec son conjoint (al. 1); après un séjour légal ininterrompu de cinq ans, le conjoint a droit à une autorisation d’établissement (al. 3). L'art. 50 al. 1 let. a LEtr prévoit qu'après dissolution de la famille, le droit du conjoint à une autorisation de séjour en vertu de l'art. 42 LEtr subsiste si l'union conjugale a duré au moins trois ans et que l'intégration est réussie. b) Aussi longtemps que le recourant a vécu sous le même toit que son épouse, il disposait d’un droit à l’autorisation de séjour au regard de la disposition précitée. Ce droit s’est toutefois éteint à la fin de la vie commune, qui a duré moins de trois ans. En l’espèce en effet, il est constant que le recourant et Y._______________ ne forment plus une communauté conjugale depuis le 21 juin 2012, à tout le moins. Le recourant ne peut donc plus se prévaloir de l'art. 42 al. 1 LEtr. Reste à savoir si d’autres dispositions lui permettent d'obtenir un titre de séjour en Suisse. Le recourant se prévaut à cet égard de l’art. 50 al. 1 let. b LEtr, à teneur duquel après dissolution de la famille, le droit du conjoint à l’autorisation de séjour et à la prolongation de celle-ci subsiste lorsque la poursuite du séjour en Suisse s’impose pour des raisons personnelles majeures.</w:t>
      </w:r>
    </w:p>
    <w:p>
      <w:r>
        <w:rPr>
          <w:b/>
        </w:rPr>
        <w:t>E. 3</w:t>
      </w:r>
    </w:p>
    <w:p>
      <w:r>
        <w:t>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L'art. 50 al. 1 let. b et al. 2 LEtr n'est pas exhaustif (cf. le terme "notamment")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En l’espèce, le recourant ne vit en Suisse que depuis deux ans. La vie commune entre les époux XY._________________ en Suisse n’a duré que dix mois tout au plus et le recourant ne fait pas état de violences conjugales. Dans ses écritures, le recourant prétend avoir subi des pressions de la part de Y._______________ pour venir en Suisse; ce n’est pourtant pas ce qu’il a déclaré devant le Président du Tribunal civil lors de l’audience du 21 juin 2012. Quoi qu’il en soit, on retiendra que d'un point de vue familial, le recourant n'a aucune attache particulière dans notre pays. S'il est encore marié à Y._______________, il en est séparé depuis plus d’un an et il ne paraît y avoir aucune perspective de réconciliation. En outre, aucun enfant n’est issu de cette union. Sans doute, le recourant a travaillé pratiquement durant toute l’année 2012 comme ouvrier ou auxiliaire pour une agence de travail intérimaire. Ces éléments ne sont cependant pas suffisants pour retenir qu’il s’est bien intégré en Suisse, même s’il y a lieu de mettre à son actif son engagement comme volontaire au sein des sapeurs-pompiers lausannois. En réalité, les attaches familiales et culturelles du recourant se trouvent dans son pays d'origine. En effet, l e recourant a vécu en RDC (ex-Zaïre) jusqu’en août 2011, soit durant trente-neuf ans. Ainsi qu’il l’indique lui-même, il y a acquis une formation d’ingénieur et jouissait au demeurant d’une bonne situation avant son départ. Par conséquent, c’est en vain que le recourant se prévaut d’une situation d’extrême gravité justifiant que son autorisation de séjour soit prolongée. Le recourant insiste sans doute sur les risques qu’il encourt dans son pays, du fait qu’il aurait quitté de façon abrupte l’organisme officiel auquel il était rattaché. Cette circonstance ne fait pas obstacle au refus de l’autorité de prolonger l’autorisation de séjour; elle devra cependant être examinée dans le cadre du renvoi du recourant dans son pays.</w:t>
      </w:r>
    </w:p>
    <w:p>
      <w:r>
        <w:rPr>
          <w:b/>
        </w:rPr>
        <w:t>E. 4</w:t>
      </w:r>
    </w:p>
    <w:p>
      <w:r>
        <w:t>a) Selon l'art. 83 LEtr, l'Office fédéral des migrations peut admettre provisoirement en Suisse un 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elle peut ne pas être raisonnablement exigée si le renvoi ou l’expulsion de l’étranger dans son pays d’origine ou de provenance le met concrètement en danger, par exemple en cas de guerre, de guerre civile, de violence généralisée ou de nécessité médicale (al. 4). Le renvoi doit également être examiné au regard du principe de non-refoulement garanti par l’art. 3 CEDH. La Cour européenne des droits de l’homme a admis que la mise à exécution, par les autorités de l’état d’accueil, d’une décision de renvoi d’un étranger pouvait, suivant les circonstances, se révéler contraire à cette disposition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œuvre de la protection issue de l’art. 3 CEDH, tant que la personne concernée ne peut rendre hautement probable qu’elle serait visée personnellement – et non pas simplement par le fait d’un hasard malheureux – par des mesures incompatibles avec la disposition en question (cf. notamment arrêt de la Cour européenne des droits de l’homme en l’affaire F. H. c/Suède du 20 janvier 2009, requête n° 32621/06 et en l’affaire Saadi c/Italie du 28 février 2008, requête n° 37201/06). b) En l'espèce, le recourant ne prétend pas que l'exécution du renvoi en RDC serait impossible ou inexigible. Il soutient en revanche qu'elle serait illicite, dès lors qu’il encourt le danger d’être emprisonné, voire assassiné, en cas de retour dans son pays. En l’état, la situation en République démocratique du Congo, en dépit des tensions prévalant toujours notamment dans l’Est du pays, la région de Kinshasa (d’où est originaire le recourant) n’est sans doute pas le théâtre, sur l’ensemble de son territoire, d’une situation de guerre, de guerre civile ou de violence généralisée qui permettraient d’emblée, et indépendamment des circonstances du cas d’espèce, de présumer, au sujet de tous les ressortissants, l’existence d’une mise en danger concrète au sens de l’art. 83 al. 4 LEtr (dans ce sens, arrêt PE.2013.0040 du 5 juillet 2013). Néanmoins, la situation du recourant semble particulière, puisqu’il occupait au demeurant une position sensible dans un organisme de contrôle **************. Du reste, les circonstances dans lesquelles il a quitté cet organisme demeurent floues. Cela étant, l’autorité intimée a elle-même estimé que les conditions de l’art. 83 al. 4 LEtr étaient en l’espèce remplies et qu’il y avait lieu de transmettre le dossier du recourant à l’ODM en vue de la délivrance d’une admission provisoire, ce qu’elle a du reste rappelé dans ses écritures. Le Tribunal n’a aucune raison de mettre en doute cette approche.</w:t>
      </w:r>
    </w:p>
    <w:p>
      <w:r>
        <w:rPr>
          <w:b/>
        </w:rPr>
        <w:t>E. 5</w:t>
      </w:r>
    </w:p>
    <w:p>
      <w:r>
        <w:t>Les considérants qui précèdent conduisent par conséquent le Tribunal à rejeter le recours et à confirmer la décision attaquée. Vu le sort du recours, un émolument judiciaire sera mis à la charge du recourant (art. 49 et 91 de la loi vaudoise du 28 octobre 2008 sur la procédure administrative [ LPA-VD; RSV 173.36 ] ). Au surplus,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