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PE.2013.0310 vom 13. November 2013</w:t>
      </w:r>
    </w:p>
    <w:p>
      <w:r>
        <w:t>VD Tribunal cantonal, 2013-11-13, FR</w:t>
      </w:r>
    </w:p>
    <w:p>
      <w:r>
        <w:rPr>
          <w:b/>
        </w:rPr>
        <w:t xml:space="preserve">Quelle: </w:t>
      </w:r>
      <w:r>
        <w:t>https://mcp.opencaselaw.ch/entscheid/vd_omni_PE.2013.0310</w:t>
      </w:r>
    </w:p>
    <w:p>
      <w:r>
        <w:t>FR: VD_OMNI PE.2013.0310 du 13 novembre 2013</w:t>
      </w:r>
    </w:p>
    <w:p>
      <w:r>
        <w:t>IT: VD_OMNI PE.2013.0310 del 13 novembre 2013</w:t>
      </w:r>
    </w:p>
    <w:p>
      <w:pPr>
        <w:pStyle w:val="Heading2"/>
      </w:pPr>
      <w:r>
        <w:t>Regeste</w:t>
      </w:r>
    </w:p>
    <w:p>
      <w:r>
        <w:t>X.________ /Service de la population (SPOP) | Refus de délivrer une autorisation de séjour à un ressortissant algérien en vue d'un mariage avec une ressortissante italienne titulaire d'une autorisation d'établissement principalement en raison de différentes condamnations faisant apparaître selon le SPOP l'existence d'un comportement personnel constituant une menace actuelle pour l'odre public. Examen de la question de savoir si l'intéressé, une fois marié, pourra séjourner en Suisse au regard de l'ALCP et de l'art. 8 CEDH. Constat que, si le recourant a commis de nombreux délits entre 2000 et 2007 (principalement des vols), sa situation a connu un changement important avec la naissance de son enfant au mois de décembre 2010 et avec son projet de mariage avec la mère de son enfant. Dans ces circonstance, l'existence d'un risque significatif de récidive et, par conséquent, d'une menace actuelle pour l'ordre public ne saurait être retenue. Une autorisation de séjour après le mariage devrait également pouvoir être obtenue, sur la base d'une pesée des intérêts, en application de l'art. 8 CEDH dès lors qu'un refus d'autorisation impliquerait certainement une séparation de la famille, ce qui serait notamment très préjudiciable pour l'enfant du recourant, avec lequel il vit.</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refusé de délivrer au recourant une autorisation en vue de mariage. Selon la jurisprudence,  un étranger peut, à certaines conditions, déduire du droit au mariage garanti par l’art. 12 de la convention du 4 novembre 1950 de sauvegarde des droits de l’homme et des libertés fondamentales (CEDH; RS 0.101) et l’art. 14  de la Constitution fédérale de la Confédération suisse du 18 avril 1999 (Cst.; RS 101) un droit à pouvoir séjourner en Suisse en vue de s’y marier (cf. ATF 137 I 351 consid. 3.5 p. 356 ss). Ainsi,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 RS 142.20] par analogie). Dans un tel cas, il serait en effet disproportionné d’exiger de l’étranger qu’il rentre dans son pays pour s’y marier ou pour y engager à distance une procédure en vue d’obtenir le droit de revenir en Suisse pour s’y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de mariage ;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351 consid. 3.7 p. 359 s). Vu ce qui précède, il convient d’examiner si, une fois marié, le recourant pourra être admis à séjourner en Suisse. Cette question doit être examinée au regard de l'Accord du 21 juin 1999 entre la Confédération suisse d'une part, et la Communauté européenne et ses Etats membres, d'autre part, sur la libre circulation des personnes (ALCP; RS 0.142.112.681) (cf. consid 3 ci-après) et de l’art. 8 de la convention du 4 novembre 1950 de sauvegarde des droits de l’homme et des libertés fondamentales (CEDH; RS 0.101) (cf. consid 4 ci-après). 3.                a) A teneur des art. 4 et 7 ALCP, le droit de séjour et d’accès à une activité économique est garanti aux ressortissants des Etats membres et aux membres de leur famille, quelle que soit la nationalité de ceux-ci. Selon les art. 4 ALCP et 2 de l'Annexe I de l'ALCP, les ressortissants d'une partie contractante ont le droit de séjourner et d'exercer une activité économique sur le territoire de l'autre partie contractante. Selon l’art. 3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Comme l'ensemble des autres droits octroyés par l'Accord sur la libre circulation des personnes, ces droits ne peuvent être limités que par des mesures d'ordre ou de sécurité publics, au sens de l'art. 5 par. 1 de l'Annexe I de l'ALCP, dont le cadre et les modalités sont définis par la directive 64/221/CEE et la jurisprudence pertinente y relative de la Cour de justice des Communautés européennes (v. p. ex. 2C_15/2009 du 17 juin 2009 ).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arrêt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En outre, comme lorsqu'il s'agit d'examiner la conformité d'une mesure d'éloignement prise à l'encontre de n'importe quel autre étranger, cette appréciation se fera dans le cadre des garanties découlant de la CEDH et en tenant compte du principe de la proportionnalité (ATF 130 II 176 consid. 3.4.2 p. 184; ATF 2A.12/2004 consid. 3.3). b) En l’espèce, il ressort du dossier que le recourant a commis de nombreux délits entre 2000 et 2007, soit principalement des vols. Il a en outre été condamné à 2******** pour avoir vendu du hachisch, les faits remontant au début des années 2000. Les infractions n’étaient pas particulièrement graves puisque les peines prononcées n’ont jamais excédé deux mois. Fait exception la condamnation à neuf mois d’emprisonnement prononcée le 10 octobre 2006 par le Tribunal correctionnel de 1******** pour vol, tentative de vol et infraction à la loi fédérale sur le séjour et l’établissement des étrangers (LSEE), les faits remontant à 2005 et au début de l’année 2006. Par la suite, le recourant a encore notamment été condamné pour avoir volé des cartes bancaires avec lesquelles il a effectué des retraits d’argent, les faits remontant aux mois d’octobre et de novembre 2007. Il a enfin été condamné pour une tentative de vol commise le 1 er juin 2010 (cf. ordonnance du juge d’instruction de 1******** du 29 novembre 2010). A cela s’ajoutent différentes condamnations liées à sa situation irrégulière au regard de la législation en matière de police des étrangers, y compris pour avoir exercé une activité lucrative sans autorisation ainsi qu’une condamnation pour avoir utilisé une fausse carte d’identité française. La gravité des infractions commises par le recourant durant près de 10 ans ne doit pas être minimisée. Il convient toutefois de constater que sa situation a connu un changement très important avec la naissance de son enfant au mois de décembre 2010 et son projet de mariage avec la mère de cet enfant. Il ressort de différents courriers de la fiancée du recourant figurant au dossier qu’il s’agit d’un projet sérieux et que l’enfant est très attaché à son père. Le tribunal n’a ainsi pas de raison de mettre a priori en doute la sincérité du recourant lorsqu’il dit aspirer à partir sur de nouvelles bases et à mener une vie de famille normale avec son épouse et son enfant. Ceci semble au demeurant confirmé par le fait qu’il n’a plus commis d’infractions depuis le mois de juillet 2010. On relèvera également que la situation financière de la famille ne devrait pas poser de problème puisque la fiancée du recourant dispose d’un diplôme de secrétaire et qu’elle devrait pouvoir disposer d’un emploi stable. Dès que sa situation aura été régularisée, le recourant devrait également être en mesure de travailler dès lors qu’il dispose apparemment d’une formation de plombier, domaine dans lequel il aurait déjà travaillé lors de son séjour en Suisse (cf. procès-verbal d’audition de la police de 1******** du 10 octobre 2007). On constate ainsi que, avec son mariage et la régularisation de sa situation, le recourant va se trouver dans une situation très différente de celle extrêmement précaire qu’il a connue durant les années 2000. Dès lors que cette précarité a manifestement joué un rôle important dans les nombreux petits délits qu’il a commis, l'existence d’un risque significatif de récidive et, par conséquent, d'une menace actuelle pour l'ordre public ne saurait être retenue. 4.                a) L'art. 8 par. 1 CEDH garantit à toute personne le droit au respect de sa vie privée et familiale.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rappelle que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153 consid. 2.1 pp. 154 s., 143 consid. 1.3.1 p. 145). Il n'y a cependant pas atteinte à la vie familiale si l'on peut attendre des membres de la famille qu'ils réalisent leur vie de famille à l'étranger; l'art. 8 CEDH n'est pas a priori violé si le membre de la famille jouissant d'un droit de présence en Suisse, ce qui est le cas de la future épouse du recourant, peut quitter ce pays sans difficultés avec l'étranger auquel a été refusée une autorisation de séjour ( ATF 135 I 153 consid. 2.1 p. 155,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 ATF 135 I 153 consid. 2.1 p. 155). b) En l’occurrence, il ne serait guère envisageable que la famille quitte la Suisse pour s’établir en Algérie. Le refus de délivrer une autorisation de séjour après le mariage impliquerait par conséquent certainement une séparation de la famille et un éloignement du recourant de son fils, ce qui serait très préjudiciable pour ce dernier compte tenu des liens qu’ils entretiennent. Dès lors que, pour les raisons évoquées ci-dessus, le risque que le recourant commette de nouveaux délits apparaît très faible, la pesée des intérêts en présence conduit à constater que le recourant devrait également être en mesure d’obtenir une autorisation de séjour après son mariage sur la base de l’art. 8 CEDH. 4.                Les considérants qui précèdent conduisent à l'admission du recours et à l'annulation de la décision attaquée, le dossier étant retourné au SPOP afin qu’il délivre une autorisation de séjour au recourant.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