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PE.2013.0305 vom 3. September 2013</w:t>
      </w:r>
    </w:p>
    <w:p>
      <w:r>
        <w:t>VD Tribunal cantonal, 2013-09-03, FR</w:t>
      </w:r>
    </w:p>
    <w:p>
      <w:r>
        <w:rPr>
          <w:b/>
        </w:rPr>
        <w:t xml:space="preserve">Quelle: </w:t>
      </w:r>
      <w:r>
        <w:t>https://mcp.opencaselaw.ch/entscheid/vd_omni_PE.2013.0305</w:t>
      </w:r>
    </w:p>
    <w:p>
      <w:r>
        <w:t>FR: VD_OMNI PE.2013.0305 du 3 septembre 2013</w:t>
      </w:r>
    </w:p>
    <w:p>
      <w:r>
        <w:t>IT: VD_OMNI PE.2013.0305 del 3 settembre 2013</w:t>
      </w:r>
    </w:p>
    <w:p>
      <w:pPr>
        <w:pStyle w:val="Heading2"/>
      </w:pPr>
      <w:r>
        <w:t>Regeste</w:t>
      </w:r>
    </w:p>
    <w:p>
      <w:r>
        <w:t>A. X.________/Service de la population (SPOP) | Recours contre une décision déclarant irrecevable une demande de réexamen déposée par un ressortissant d'ex-Yougoslavie dont l'autorisation de séjour n'a pas été renouvelée, faute d'élément nouveau. L'intéressé se prévaut des risques pour sa vie qu'il encourrait en cas de retour dans son pays d'origine, dans le cadre de conflits familiaux. Les conflits en cause ne sont pas à proprement parler "nouveaux", dans la mesure où ils existaient déjà lorsque la décision initiale a été rendue. A cela s'ajoute que le recourant indique lui-même qu'il est totalement étranger à ces conflits, et qu'il pourrait le cas échéant s'installer dans une autre région que celle dans laquelle il courrait des risques, respectivement, s'il se sent sérieusement menacé, faire appel à la police de son pays d'origine; au demeurant, si l'assassinat d'un tiers dans le canton de Fribourg est directement lié à l'un des conflits dont le recourant se prévaut, comme il le laisse entendre dans son recours, on ne voit pas ce qui permettrait de considérer qu'il serait plus en sécurité en Suisse que dans son pays d'origine. Recours manifestement mal fondé, rejeté par décision immédiate. Recours au TF rejeté dans la mesure de sa recevabilité (arrêt 2C_908/2013 du 11 novembre 2013).</w:t>
      </w:r>
    </w:p>
    <w:p>
      <w:pPr>
        <w:pStyle w:val="Heading2"/>
      </w:pPr>
      <w:r>
        <w:t>Erwägungen</w:t>
      </w:r>
    </w:p>
    <w:p>
      <w:r>
        <w:rPr>
          <w:b/>
        </w:rPr>
        <w:t>E. 1</w:t>
      </w:r>
    </w:p>
    <w:p>
      <w:r>
        <w:t>L'autorité intimée a estimé que la demande de réexamen déposée par le recourant le 8 avril 2013 était irrecevable faute d'élément nouveau de nature à remettre en cause sa décision du 4 janvier 2012 (laquelle a été confirmée par la CDAP, puis par le TF; cf. let. B supra ). L'intéressée conteste ce point, et requiert la mise en œuvre de mesures d'instruction complémentaires.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b) En l'espèce, le recourant invoque à titre de fait nouveau les risques pour sa vie qu'il encourrait en cas de retour dans son pays d'origine compte tenu de conflits familiaux. Le premier de ces conflits opposerait sa famille à une autre famille de la commune de 2******** (où l'intéressé est né, et où réside notamment son fils B. A. X.________); dans ce cadre, son neveu aurait assassiné au mois de septembre 2011 un membre de cette autre famille, laquelle chercherait désormais à se venger. Quant au second conflit, qui opposerait ses cousins à une autre famille, il existerait "depuis les années 2000" mais n'aurait pas donné lieu à des règlements de comptes entre 2004 et le mois de mars 2013, date de l'assassinat d'un cousin du recourant dans la commune de 2********; un autre assassinat, perpétré au mois de mai 2013 dans le canton de Fribourg, serait également "en lien direct" avec ce second conflit, dans le cadre duquel les meurtres par vengeance se succéderaient en application du "Kanun" (droit coutumier impliquant en particulier, en cas de meurtre, qu'un homme de la famille de la victime de la victime inflige un sort comparable à un membre masculin de la famille du meurtrier; concernant le "Kanun" et son influence à l'heure actuelle, cf. en particulier la publication de l'Office fédéral des migrations [ODM] concernant "La population kosovare en Suisse" du mois d'août 2010, ch. 2.3.2). Il convient de relever d'emblée que les conflits invoqués ne sont pas à proprement parler "nouveaux", dans la mesure où ils existaient tous deux antérieurement à la décision du 4 janvier 2012; on peut en particulier s'étonner que l'intéressé n'ait fait aucune mention du premier de ces conflits dans le cadre de la procédure ayant conduit à cette décision, alors que l'assassinat perpétré par son neveu l'a été quelques mois auparavant (dans le même sens, son fils B. A. X.________ a indiqué dans une "déclaration" du 15 mars 2013, produite à l'appui du recours, que la situation de conflit en cause existait "depuis deux ans" - soit depuis le mois de mars 2011 environ). Au demeurant, il n'apparaît pas que le second conflit, qui aurait débuté dans les années 2000 et aurait notamment donné lieu à un "règlement de comptes" en 2004, aurait empêché le recourant de se rendre dans son pays d'origine depuis lors. A cela s'ajoute que le recourant a lui-même indiqué dans son recours qu'il était "totalement étranger" à ces conflits et n'avait été impliqué dans aucun de ces assassinats; l'intéressé ne prétend pas, en particulier, qu'il aurait personnellement fait l'objet de menaces concrètes en cas de retour dans son pays d'origine, de sorte que les risques pour sa vie dont il se prévaut ne sauraient être considérés comme établis. A cela s'ajoute encore que, dans l'hypothèse où il courrait effectivement des risques en cas de retour dans la commune de 2********, le recourant pourrait s'installer dans une autre région de son pays d'origine et, s'il se sent sérieusement menacé, faire appel à la police de ce pays (cf. ATF 2A.156/2005  du 17 mars 2005 consid. 2.1; cf. ég. la publication de l'ODM déjà mentionnée, relevant en particulier que seul un petit nombre de meurtres seraient encore commis actuellement en application du "Kanun", le plus souvent dans des villages reculés dans l'ouest du Kosovo). C'est le lieu de relever qu'il résulte d'un courrier adressé par l'autorité intimée au Ministère public de l'arrondissement de Lausanne le 21 juin 2013 que l'intéressé a déclaré à plusieurs reprises qu'il avait l'intention d'organiser son départ en Italie, où il aurait sollicité l'octroi d'une autorisation de séjour. Au demeurant, si l'assassinat d'un tiers dans le canton de Fribourg est en lien direct avec l'un des conflits familiaux dont le recourant se prévaut - comme le laisse entendre ce dernier dans son recours -, on voit mal ce qui permettrait de considérer que l'intéressé serait plus en sécurité en Suisse que dans son pays d'origine (respectivement, le cas échéant, en Italie). c) Dans ces conditions, il s'impose de constater que l'appréciation de l'autorité intimée, selon laquelle les éléments invoqués par le recourant ne sont pas constitutifs de faits nouveaux susceptibles de remettre en cause sa décision du 4 janvier 2012, ne prête pas le flanc à la critique. Par une appréciation anticipée des preuves, le tribunal considère dans ce cadre qu'il n'y pas lieu de donner suite aux mesures d'instruction requises par le recourant (tendant à la production du dossier pénal du meurtre d'un tiers en mains du Ministère public de l'Etat de Fribourg), dont le résultat ne serait pas susceptible de modifier sa conviction (cf. ATF 2C_172/2013 du 21 juin 2013 consid. 3.1 et les références); pour le même motif, il n'apparaît pas nécessaire d'attendre la production des pièces annoncées par le recourant (en lien avec l'assassinat de son cousin au mois de mars 2013) avant de statuer.</w:t>
      </w:r>
    </w:p>
    <w:p>
      <w:r>
        <w:rPr>
          <w:b/>
        </w:rPr>
        <w:t>E. 2</w:t>
      </w:r>
    </w:p>
    <w:p>
      <w:r>
        <w:t>Il résulte des considérants qui précèdent que le recours doit être rejeté et la décision attaquée confirmée. Le recours apparaissant manifestement mal fondé, il est renoncé à l'échange d'écritures ainsi qu'à toute autre mesure d'instruction (cf. art. 82 al. 1 LPA-VD). Compte tenu du caractère manifestement mal fondé du recours, il convient par ailleurs de rejeter la demande d'assistance judiciaire déposée par le recourant en même temps que le recours (cf. art. 18 al. 1 et al. 2 LPA-VD). Cela étant, au vu des circonstances, il est renoncé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