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PE.2013.0278 vom 2. Juni 2014</w:t>
      </w:r>
    </w:p>
    <w:p>
      <w:r>
        <w:t>VD Tribunal cantonal, 2014-06-02, FR</w:t>
      </w:r>
    </w:p>
    <w:p>
      <w:r>
        <w:rPr>
          <w:b/>
        </w:rPr>
        <w:t xml:space="preserve">Quelle: </w:t>
      </w:r>
      <w:r>
        <w:t>https://mcp.opencaselaw.ch/entscheid/vd_omni_PE.2013.0278</w:t>
      </w:r>
    </w:p>
    <w:p>
      <w:r>
        <w:t>FR: VD_OMNI PE.2013.0278 du 2 juin 2014</w:t>
      </w:r>
    </w:p>
    <w:p>
      <w:r>
        <w:t>IT: VD_OMNI PE.2013.0278 del 2 giugno 2014</w:t>
      </w:r>
    </w:p>
    <w:p>
      <w:pPr>
        <w:pStyle w:val="Heading2"/>
      </w:pPr>
      <w:r>
        <w:t>Regeste</w:t>
      </w:r>
    </w:p>
    <w:p>
      <w:r>
        <w:t>A. X.________ Y.________ Z.________/Service de la population (SPOP) | Refus de prolonger l'autorisation de séjour UE/AELE d'une ressortissante portugaise et de ses deux enfants. L'activité à temps partiel exercée par la recourante lui permet d'obtenir un revenu suffisant pour subvenir à ses besoins. La qualité de "travailleur" au sens de l'ALCP doit ainsi lui être reconnue. Recours admis et cause renvoyée au SPOP pour qu'il statue à nouveau.</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autrement ou lorsque la LEtr prévoit des dispositions plus favorables (art. 2 al. 2 LEtr). b) L'ALCP, entré en vigueur le 1 er juin 2002, a pour objectif d'accorder en faveur de leurs ressortissants,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3.3. et 3.4 et les réf. citées;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c) Les directives de l'ODM, relatives à l'ALCP, prévoient à leur chapitre 4 relatif aux conditions d'admission en vue de l'exercice d'une activité lucrative en Suisse, dans leur version au 1 er août 2012,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II.5.2.1.4 et II.8.2), auquel cas l'autorisation peut ne pas être délivrée." Comme l'a constaté un arrêt récent, ces directives ne mentionnent plus que le temps de travail hebdomadaire doit s'élever à douze heures au moins (arrêt PE.2012.0158 du 11 octobre 2012 consid. 3b).</w:t>
      </w:r>
    </w:p>
    <w:p>
      <w:r>
        <w:rPr>
          <w:b/>
        </w:rPr>
        <w:t>E. 3</w:t>
      </w:r>
    </w:p>
    <w:p>
      <w:r>
        <w:t>En l'occurrence, il convient d'examiner si les revenus réalisés par la recourante lui garantissent, compte tenu de sa structure  familiale, des moyens financiers suffisants pour ne pas tomber à l'aide sociale. Le ménage de la recourante est composé d'elle et de son fils cadet, l'aîné ayant quitté le domicile il y a plusieurs mois. Compte tenu de la durée de sa liaison avec son compagnon, on ne tiendra en l'état pas compte de la situation de ce dernier. C'est le lieu de préciser que cette manière de procéder est la moins favorable pour la recourante, dès lors que selon les pièces produites, son compagnon réalise un revenu – constitué d'indemnités journalières – de l'ordre de 4'600 francs. Si l'on en tenait compte, les charges du ménage de la recourante et de son compagnon seraient à l'évidence largement couvertes. Selon les normes de la Conférence suisse des institutions d'action sociale (CSIAS), le forfait d'entretien pour un ménage de deux personnes s'élève depuis 2013 à 1'509 francs. Dans le cadre du revenu d'insertion, autrement dit de l'aide sociale, le forfait " entretien et intégration " s'élève à 1'700 fr. pour deux personnes, plus 65 fr. pour frais particuliers et le loyer dans la région du Groupe 3 (Aigle-Pays-d'Enhaut) à 880 fr. charges en sus (cf. barème annexé au règlement du 26 octobre 2005 d'application de la loi du 2 décembre 2003 sur l'action sociale vaudoise; RLASV; RSV 850.051.1). Ainsi, le forfait d'entretien déterminant, loyer compris, de la recourante et de son fils s'élève à 2'645 fr. si l'on retient le forfait le plus élevé fixé par le revenu d'insertion et non le montant de la CSIAS. Depuis la mi-février 2014, a recourante exerce une activité à temps partiel. Cette activité est " à la demande ". Elle lui a procuré pour le moment environ 2'050 fr. par mois. Selon les explications de la recourante, c'est là un minimum, dès lors que la saison n'a pas véritablement commencé. La recourante perçoit en sus pour son fils des avances sur pensions versées par le BRAPA, à hauteur de 450 fr., et des allocations familiales par 230 francs. Ainsi, le revenu mensuel de la recourante s'élève à 2'730 francs. Ce montant est légèrement supérieur aux besoins de la recourante et doit lui permettre en tout état de cause de ne pas tomber à l'aide sociale. C'est d'autant plus vrai dans le cas présent que la charge de loyer effective de la recourante est inférieure aux 880 fr. retenus ci-dessus, puisque le loyer du logement qu'elle occupe est partagé avec son compagnon, ce qui lui fait une charge effective de 625 fr., soit 255 fr. de moins que le montant retenu. Il découle de ce qui précède que même sans tenir compte des revenus réalisés par son compagnon, la recourante dispose de moyens suffisants pour assurer son entretien et celui de son fils cadet, sans devoir recourir à l'aide sociale. C'est dès lors à tort que l'autorité intimée a dénié à la recourante la qualité de travailleur au sens de l'ALCP et qu'elle a refusé de prolonger son autorisation de séjour et celles de ses deux fils pour ce motif. La décision attaquée doit ainsi être annulée et le dossier retourné à l'autorité intimée afin qu'elle statue à nouveau sur les demandes de prolongation d'autorisations de séjour des intéressés. Elle examinera en particulier la situation du fils aîné (aujourd'hui majeur) dont on ne sait rien.</w:t>
      </w:r>
    </w:p>
    <w:p>
      <w:r>
        <w:rPr>
          <w:b/>
        </w:rPr>
        <w:t>E. 4</w:t>
      </w:r>
    </w:p>
    <w:p>
      <w:r>
        <w:t>Les considérants qui précèdent conduisent à l'admission du recours et à l'annulation de la décision attaquée. Vu l'issue du litige, l'arrêt sera rendu sans frais (art. 49 al. 1 et 52 LPA-VD). La recourante, qui a obtenu gain de cause et qui a procédé par l'intermédiaire d'un mandataire professionnel, a droit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