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PE.2013.0269 vom 3. März 2014</w:t>
      </w:r>
    </w:p>
    <w:p>
      <w:r>
        <w:t>VD Tribunal cantonal, 2014-03-03, FR</w:t>
      </w:r>
    </w:p>
    <w:p>
      <w:r>
        <w:rPr>
          <w:b/>
        </w:rPr>
        <w:t xml:space="preserve">Quelle: </w:t>
      </w:r>
      <w:r>
        <w:t>https://mcp.opencaselaw.ch/entscheid/vd_omni_PE.2013.0269</w:t>
      </w:r>
    </w:p>
    <w:p>
      <w:r>
        <w:t>FR: VD_OMNI PE.2013.0269 du 3 mars 2014</w:t>
      </w:r>
    </w:p>
    <w:p>
      <w:r>
        <w:t>IT: VD_OMNI PE.2013.0269 del 3 marzo 2014</w:t>
      </w:r>
    </w:p>
    <w:p>
      <w:pPr>
        <w:pStyle w:val="Heading2"/>
      </w:pPr>
      <w:r>
        <w:t>Regeste</w:t>
      </w:r>
    </w:p>
    <w:p>
      <w:r>
        <w:t>A. X.________/Service de la population (SPOP) | Confirmation du refus de renouveler une autorisation de séjour UE/AELE en faveur d'une ressortissante française qui émarge au RI et ne peut faire valoir une activité rémunérée régulière. Recours au TF irrecevable (2C_322/2014 du 8 avril 2014).</w:t>
      </w:r>
    </w:p>
    <w:p>
      <w:pPr>
        <w:pStyle w:val="Heading2"/>
      </w:pPr>
      <w:r>
        <w:t>Erwägungen</w:t>
      </w:r>
    </w:p>
    <w:p>
      <w:r>
        <w:rPr>
          <w:b/>
        </w:rPr>
        <w:t>E. 1</w:t>
      </w:r>
    </w:p>
    <w:p>
      <w:r>
        <w:t>a) L'accord entre la Confédération suisse, d'une part, et la Communauté européenne et ses Etats membres, d'autre part, sur la libre circulation des personnes (ALCP; RS 0.142.112.681), entré en vigueur le 1 er juin 2002, a pour objectif d'accorder en faveur de leurs ressortissants, notamment un droit d'entrée, de séjour, d'accès à une activité économique salariée, sur le territoire des parties contractantes, selon l'art. 1 er let. a ALCP. L'art. 6 annexe I ALCP précise: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(5) Les interruptions de séjour ne dépassant pas six mois consécutifs ainsi que les absences motivées par l'accomplissement d'obligations militaires n'affectent pas la validité du titre de séjour.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w:t>
      </w:r>
    </w:p>
    <w:p>
      <w:r>
        <w:rPr>
          <w:b/>
        </w:rPr>
        <w:t>E. 2</w:t>
      </w:r>
    </w:p>
    <w:p>
      <w:r>
        <w:t>Il y a lieu d'examiner si la recourante peut prétendre à la délivrance d'un titre de séjour sur la base de l'ALCP. Autrement dit, la question est celle de savoir si la recourante se trouve actuellement dans une situation de libre circulation des personnes. a) Aux termes de l'art. 16 al. 2 ALCP, dans la mesure où l'application de l'ALCP implique des notions de droit communautaire, il sera tenu compte de la jurisprudence pertinente de la Cour de justice des Communautés européennes (CJCE), actuellement la Cour de justice de l'Union européenne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Florence Aubry Girardin, L'interprétation et l'Application de l'Accord sur la libre circulation des personnes du point de vue de la jurisprudence, in L'accord sur la libre circulation des personnes Suisse -UE, 2011, p. 43 ss).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 ATF 131 II 339 consid. 3.2 p. 345 et les références aux arrêts de la CJCE Kempf du 3 juin 1986, 139/85, Rec. 1986 p. 1741, point 13 et Levin du 23 mars 1982, 53/1981, Rec. 1982 p. 1035, point 13, voir aussi Conclusions de l'avocat général du 5 juillet 2007, C-291/05 , Rec. 2007 I-10719 point 73). Doit ainsi être considéré comme un " travailleur " la personne qui accomplit, pendant un certain temps, en faveur d'une autre personne et sous la direction de celle-ci, des prestations en contrepartie desquelles elle touche une rémunération (arrêts Brian Francis Collins du 23 mars 2004, C-138/02, Rec. 2004 p. I-2703 point 26 et Lawrie-Blum, du 3 juillet 1986, 66/85, Rec. 1986, p. 2121, points 16 et 17). Cela suppose l'exercice d'activités réelles et effectives, à l'exclusion d'activités tellement réduites qu'elles se présentent comme purement marginales et accessoires (arrêt Petersen du 28 février 2013, destiné à la publication, point 30). P 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 ue marginale et accessoire (ATF 131 II 339 consid. 3.4 citant notamment l' arrêt Raulin , C-357/89, Rec. 1992, p. I-1027, points 9 à 13, rendu par la CJCE ). b) Les directives de l'ODM, relative à l'ALCP, prévoient à leur chapitre 4 relatif aux conditions d'admission en vue de l'exercice d'une activité lucrative en Suisse, dans leur version au 1 er août 2012, ce qui suit: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les ch. II.5.2.1.4 et II.8.2), auquel cas l'autorisation peut ne pas être délivrée." Comme l'a constaté un arrêt récent, ces directives ne mentionnent plus que le temps de travail hebdomadaire doit s'élever à 12 heures au moins (arrêt PE.2012.0158 du 11 octobre 2012 consid. 3b). c) La décision attaquée conteste la qualité de travailleur à la recourante, qui bénéficie du RI depuis décembre 2009. d) En l'espèce, il apparaît que la recourante a exercé des activités salariées de manière épisodique, et la plupart du temps avec un horaire réduit, impropre à assurer sa subsistance. Invitée à plusieurs reprises au cours de la procédure à démontrer qu’elle pouvait bénéficier du statut de travailleur, la recourante n’a pas été en mesure de produire un contrat de travail pérenne, se contentant d’affirmer qu’elle serait bientôt en mesure d’assumer ses charges financières. Dans ces conditions, c'est à bon droit que le SPOP a considéré que la recourante, qui émarge au RI, ne pouvait bénéficier du statut de travailleur, partant se voir prolongée son autorisation de séjour. Les conclusions de la recourante s'avèrent mal fondées.</w:t>
      </w:r>
    </w:p>
    <w:p>
      <w:r>
        <w:rPr>
          <w:b/>
        </w:rPr>
        <w:t>E. 3</w:t>
      </w:r>
    </w:p>
    <w:p>
      <w:r>
        <w:t>a) Selon l'art. 20 OLCP, si les conditions d'admission sans activité lucrative ne sont pas remplies au sens de l'ALCP, une autorisation de séjour UE/AELE peut être délivrée lorsque des motifs importants l'exigent. Cette disposition fait application de l'art. 31 de l'ordonnance du 24 octobre 2007 relative à l’admission, au séjour et à l’exercice d’une activité lucrative (OASA; RS 142.201), régissant les cas individuels d'une extrême gravité. Il n'existe pas de droit en la matière; l'autorité cantonale statue librement (art. 96 LEtr) après avoir soumis le cas à l'ODM pour approbation. Etant donné qu'il s'agit de ressortissants UE/AELE, un livret pour étranger UE/AELE leur est délivré (Directives ODM, ch. II.8.2.7). L'art. 20 OLCP doit être interprété en relation avec l'art. 13 let. f et 36 de l’ancienne ordonnance fédérale du 6 octobre 1986 limitant le nombre des étrangers (aOLE) en vigueur jusqu'au 31 décembre 2007, remplacé par l’art. 31 OASA). Cette disposition dérogatoire présente un caractère exceptionnel; les conditions à la reconnaissance d'un cas de rigueur doivent être appréciées restrictivement (ATF 130 II 39 consid. 3).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v. arrêt PE.2013.0093 du 8 octobre 2013 et réf. cit.). b) En l'espèce, la recourante n'a pas pris de conclusion formelle tendant à l'octroi d'une telle autorisation. A juste titre. En effet, elle est arrivée en Suisse en 2007 à l'âge de 26 ans. Elle y vit depuis lors. Elle est amenée à rentrer en France soit un pays voisin où elle a passé son enfance. Elle y aura accès au marché de l'emploi et aux prestations sociales. Elle pourra garder des liens avec la Suisse en fonction de la distance géographique qui la séparera du Canton de Vaud où elle a naturellement noué des liens depuis 2007.</w:t>
      </w:r>
    </w:p>
    <w:p>
      <w:r>
        <w:rPr>
          <w:b/>
        </w:rPr>
        <w:t>E. 4</w:t>
      </w:r>
    </w:p>
    <w:p>
      <w:r>
        <w:t>Les considérants qui précèdent conduisent au rejet du recours aux frais de l'Etat compte tenu de l'indigence de la recourante.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