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PE.2013.0243 vom 6. August 2013</w:t>
      </w:r>
    </w:p>
    <w:p>
      <w:r>
        <w:t>VD Tribunal cantonal, 2013-08-06, FR</w:t>
      </w:r>
    </w:p>
    <w:p>
      <w:r>
        <w:rPr>
          <w:b/>
        </w:rPr>
        <w:t xml:space="preserve">Quelle: </w:t>
      </w:r>
      <w:r>
        <w:t>https://mcp.opencaselaw.ch/entscheid/vd_omni_PE.2013.0243</w:t>
      </w:r>
    </w:p>
    <w:p>
      <w:r>
        <w:t>FR: VD_OMNI PE.2013.0243 du 6 août 2013</w:t>
      </w:r>
    </w:p>
    <w:p>
      <w:r>
        <w:t>IT: VD_OMNI PE.2013.0243 del 6 agosto 2013</w:t>
      </w:r>
    </w:p>
    <w:p>
      <w:pPr>
        <w:pStyle w:val="Heading2"/>
      </w:pPr>
      <w:r>
        <w:t>Regeste</w:t>
      </w:r>
    </w:p>
    <w:p>
      <w:r>
        <w:t>X.______________ c/Département de l'économie et du sport, Service de la population (SPOP) | Confirmation du rejet de la demande de réexamen de la décision révoquant l'autorisation d'établissement du recourant, ressortissant de la République du Congo (Brazzaville), âgé de 25 ans, célibataire et qui a été condamné à une peine privative de liberté de six ans, notamment pour tentative de meurtre, lésions corporelles graves, vol par métier et en bande et brigandage. D'une part le fait qu'il ait officiellement reconnu sa fille, qu'il lui verse une pension alimentaire et qu'il indique vouloir tout mettre en oeuvre pour être un bon père, d'autre part le fait qu'il ait eu un bon comportement en prison et au cours de son régime de semi-liberté ne sont pas suffisamment importants pour ouvrir la voie à une reconsidération. Recours rejeté.</w:t>
      </w:r>
    </w:p>
    <w:p>
      <w:pPr>
        <w:pStyle w:val="Heading2"/>
      </w:pPr>
      <w:r>
        <w:t>Erwägungen</w:t>
      </w:r>
    </w:p>
    <w:p>
      <w:r>
        <w:rPr>
          <w:b/>
        </w:rPr>
        <w:t>E. 1</w:t>
      </w:r>
    </w:p>
    <w:p>
      <w:r>
        <w:t>Le recourant remet en question la compétence du DECS de rendre une décision telle que celle qui est entreprise, à tort cependant. Il résulte en effet clairement de la réglementation applicable que le DECS, et plus particulièrement son Chef, était compétent pour rendre la décision dont est recours. Aux termes de l'art.</w:t>
      </w:r>
    </w:p>
    <w:p>
      <w:r>
        <w:rPr>
          <w:b/>
        </w:rPr>
        <w:t>E. 2</w:t>
      </w:r>
    </w:p>
    <w:p>
      <w:r>
        <w:t>Le recourant requiert la mise en oeuvre d'une expertise portant sur son évolution psychologique afin de démontrer qu'il ne représente en aucun cas un danger pour la société ainsi que la fixation d'une audience afin de procéder à l'audition de témoins.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recourant a en l'occurrence déjà fait l'objet de plusieurs expertises psychiatriques, en particulier pendant la procédure pénale au cours de laquelle il a été condamné à une peine privative de liberté de six ans. Dans le cadre de la procédure qui a abouti au jugement du 18 avril 2013 du collège des JAP, il ressort d'un message électronique envoyé le 20 juin 2012 par une collaboratrice du Service pénitentiaire (SPEN) à une collaboratrice du SPOP que la Commission interdisciplinaire consultative concernant les délinquants nécessitant une prise en charge psychiatrique (CIC) a été consultée et, ainsi que cela ressort du jugement du 18 avril 2013 précité, a rendu un avis le 2 mai 2012. Vu les pièces du dossier, les mesures d'instruction requises n'apparaissent ainsi ni nécessaires ni utiles à l'établissement des faits pertinents pour l'issue du litige; elles ne pourraient amener la cour de céans à modifier son opinion.</w:t>
      </w:r>
    </w:p>
    <w:p>
      <w:r>
        <w:rPr>
          <w:b/>
        </w:rPr>
        <w:t>E. 3</w:t>
      </w:r>
    </w:p>
    <w:p>
      <w:r>
        <w:t>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arrêts 2C_172/2013 du 21 juin 2013 consid. 4.1; 2C_349/2012 du 18 mars 2013 consid. 4.2.1). b) Un étranger peut se prévaloir de la protection de la vie familiale découlant de l'art. 8 CEDH à condition qu'il entretienne une relation étroite et effective (cf. ATF 131 II 265 consid. 5 p. 269) avec une personne de sa famille ayant le droit de résider durablement en Suisse (cf. ATF 135 I 143 consid. 1.3.1 p. 145; voir aussi arrêt 2C_544/2013 du 18 juin 2013 consid. 4.1). Les relations familiales qui peuvent fonder, en vertu de l'art. 8 par. 1 CEDH, un droit à une autorisation de police des étrangers sont avant tout les rapports entre époux ainsi qu'entre parents et enfants mineurs vivant ensemble (ATF 127 II 60 consid. 1d/aa p. 65; voir aussi arrêt 2C_544/2013 du 18 juin 2013 consid. 4.1).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2C_1035/2012 du 21 décembre 2012 consid. 5.1, et la référence citée).</w:t>
      </w:r>
    </w:p>
    <w:p>
      <w:r>
        <w:rPr>
          <w:b/>
        </w:rPr>
        <w:t>E. 4</w:t>
      </w:r>
    </w:p>
    <w:p>
      <w:r>
        <w:t>a) En l'espèce, la décision entrée en force dont le réexamen est requis est celle du Chef du DINT du 14 décembre 2011, confirmée par la CDAP le 30 mars 2012 (PE.2012.0017). A titre d'éléments nouveaux, le recourant invoque, d'une part le fait qu'il a officiellement reconnu sa fille, Z._______________, qu'il lui verse une pension alimentaire mensuelle de 100 fr. et qu'il va tout mettre en oeuvre pour être un bon père, d'autre part le fait qu'il a eu un bon comportement en prison et au cours de son régime de semi-liberté et que le Ministère public central, dans son courrier du 13 mars 2013, s'est entièrement rallié à la proposition du 12 novembre 2012 de l'OEP. L'autorité intimée a admis le caractère de nouveauté de ces éléments, mais a refusé de les considérer comme suffisamment importants pour ouvrir la voie à une reconsidération, et ce à juste titre. b) Le recourant, et ce même s'il a désormais officiellement reconnu sa fille, ne saurait bénéficier de l'art. 8 CEDH. Celle-ci ne dispose en effet apparemment pas du droit de résider durablement en Suisse, dès lors que, comme sa mère, elle n'est titulaire que d'une autorisation de séjour. Si l'on devait considérer que tel était néanmoins le cas, l'intéressé n'entretient pas avec sa fille une relation étroite et effective. S'il indique lui verser une pension alimentaire mensuelle de 100 fr., les éléments du dossier ne permettent pas de penser que le recourant voit son enfant autrement que sporadiquement. A noter que, même si des liens familiaux forts existaient réellement entre l'intéressé, qui représente toujours une grave menace pour l'ordre et la sécurité publics, et sa fille, l'intérêt privé du recourant à demeurer en Suisse ne serait pas de nature telle qu'il puisse l'emporter sur l'intérêt public, très important, à son éloignement. Le fait que, comme l'intéressé l'indique dans son recours, il serait en couple avec une amie de longue date, Suissesse d'origine péruvienne, qui attendrait un enfant de lui et avec laquelle il aurait l'intention de se marier, n'est pas non plus déterminant au sens de l'art. 8 CEDH. Il n'existe en effet pas d'indices concrets d'un mariage sérieusement voulu et imminent. De plus, l'intéressé ne peut pas juridiquement se prévaloir d'un lien de filiation clairement établi avec l'enfant à naître. c) Le fait que le recourant ait eu un bon comportement en prison, puis pendant son régime de semi-liberté ne doit pas être considéré comme suffisamment important pour ouvrir la voie à une reconsidération. Outre qu'il ne s'agit là que de l'attitude la plus élémentaire que l'on est en droit d'attendre d'une personne incarcérée, un comportement qui échappe à la critique en détention n'est pas un élément qui efface la gravité des actes commis ni le risque de récidive (arrêt 2C_972/2010 du 24 mai 2011 consid. 6.2). Au vu de la gravité des actes commis par le recourant et des condamnations dont il a fait l'objet, il existe toujours un intérêt public très important à ce qu'il cesse définitivement d'enfreindre l'ordre juridique, que ne remet pas en question la libération conditionnelle dont pourra bénéficier l'intéressé. La libération conditionnelle est en effet accordée quasiment automatiquement dès que le comportement du détenu en prison ne s'oppose pas à son élargissement et qu'il n'y a pas lieu de craindre qu'il commette de nouveaux crimes ou délits (cf. ATF 133 IV 201 consid. 2.2). L'appréciation émise par l'autorité de police des étrangers peut par ailleurs s'avérer plus rigoureuse que celle de l'autorité pénale (ATF 130 II 493 consid. 4.2, et la jurisprudence citée; cf. également arrêts 2C_516/2012 du 17 octobre 2012 consid. 2.4.2; 2C_210/2011 du 20 septembre 2011 consid. 3.3). Dans son jugement du 18 avril 2013, le collège des JAP a enfin relevé que " le pronostic n'est pas défavorable et [...] la libération conditionnelle doit être accordée. Seul un retour de l'intéressé dans son pays d'origine permettant de poser un tel pronostic, la libération conditionnelle sera dès lors subordonnée à son renvoi et deviendra effective à la première date possible pour celui-ci, mais au plus tôt le 24 avril 2013 ".</w:t>
      </w:r>
    </w:p>
    <w:p>
      <w:r>
        <w:rPr>
          <w:b/>
        </w:rPr>
        <w:t>E. 5</w:t>
      </w:r>
    </w:p>
    <w:p>
      <w:r>
        <w:t>Manifestement mal fondé, le recours doit être rejeté et la décision attaquée, confirmée, sans qu'il soit nécessaire de procéder à un échange d'écritures (art. 82 al. 1 LPA-VD). Pour le même motif, la requête d'assistance judiciaire du recourant doit être rejetée (art. 18 al. 1 LPA-VD a contrario ). Les frais de justice sont mis à la charge de ce dernier,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