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PE.2013.0232 vom 14. August 2013</w:t>
      </w:r>
    </w:p>
    <w:p>
      <w:r>
        <w:t>VD Tribunal cantonal, 2013-08-14, FR</w:t>
      </w:r>
    </w:p>
    <w:p>
      <w:r>
        <w:rPr>
          <w:b/>
        </w:rPr>
        <w:t xml:space="preserve">Quelle: </w:t>
      </w:r>
      <w:r>
        <w:t>https://mcp.opencaselaw.ch/entscheid/vd_omni_PE.2013.0232</w:t>
      </w:r>
    </w:p>
    <w:p>
      <w:r>
        <w:t>FR: VD_OMNI PE.2013.0232 du 14 août 2013</w:t>
      </w:r>
    </w:p>
    <w:p>
      <w:r>
        <w:t>IT: VD_OMNI PE.2013.0232 del 14 agosto 2013</w:t>
      </w:r>
    </w:p>
    <w:p>
      <w:pPr>
        <w:pStyle w:val="Heading2"/>
      </w:pPr>
      <w:r>
        <w:t>Regeste</w:t>
      </w:r>
    </w:p>
    <w:p>
      <w:r>
        <w:t>A. X.________/Service de l'emploi Contrôle du marché du travail et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2008 sur la procédure administrative (LPA-VD; RSV 173.36), en procédure de recours administratif et de recours de droit administratif, le recourant est en principe tenu de fournir une avance de frais (al. 2, 1 ère phrase). L'autorité impartit un délai à la partie pour fournir l'avance de frais et l'avertit qu'en cas de défaut de paiement dans le délai, elle n'entrera pas en matière sur la requête ou le recours (al. 3), - qu'en l'espèce, il apparaît que le recourant n'a pas procédé au dépôt de l'avance de frais de 500 fr. dans le délai au 15 juillet 2013 qui lui a été imparti dans l'accusé de réception du 13 juin 2013, - que l'intéressé n'a pas davantage requis la prolongation de ce délai en temps utile (cf. art. 21 al. 2 LPA-VD), - qu'il n'y a dès lors pas lieu d'entrer en matière sur le recours (art. 47 al. 3 LPA-VD), qui doit être déclaré irrecevable, - qu'une telle décision d'irrecevabilité relève de la compétence de la Cour de droit administratif et public statuant à trois juges (cf. art. 94 al. 4 LPA-VD; ATF 137 I 161 consid. 4.5), - que, compte tenue de l'issue de la procédure, il n'est pas perçu d'émolument (cf. art. 49 al. 1 et 50 LPA-VD) ni alloué de dépens (cf.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