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PE.2013.0226 vom 29. August 2013</w:t>
      </w:r>
    </w:p>
    <w:p>
      <w:r>
        <w:t>VD Tribunal cantonal, 2013-08-29, FR</w:t>
      </w:r>
    </w:p>
    <w:p>
      <w:r>
        <w:rPr>
          <w:b/>
        </w:rPr>
        <w:t xml:space="preserve">Quelle: </w:t>
      </w:r>
      <w:r>
        <w:t>https://mcp.opencaselaw.ch/entscheid/vd_omni_PE.2013.0226</w:t>
      </w:r>
    </w:p>
    <w:p>
      <w:r>
        <w:t>FR: VD_OMNI PE.2013.0226 du 29 août 2013</w:t>
      </w:r>
    </w:p>
    <w:p>
      <w:r>
        <w:t>IT: VD_OMNI PE.2013.0226 del 29 agosto 2013</w:t>
      </w:r>
    </w:p>
    <w:p>
      <w:pPr>
        <w:pStyle w:val="Heading2"/>
      </w:pPr>
      <w:r>
        <w:t>Regeste</w:t>
      </w:r>
    </w:p>
    <w:p>
      <w:r>
        <w:t>X.______________ c/Service de la population (SPOP) | Recours contre le refus de reconsidérer le renvoi d'un ressortissant du Kosovo vivant en Suisse depuis 2003. Conditions du réexamen non remplies en l'absence de faits nouveaux pertinents. C'est donc à juste titre que le SPOP a déclaré la demande de réexamen irrecevable, et l'a subsidiairement rejetée.</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Le recourant motive son recours en faisant valoir qu’il réside en Suisse depuis 18 ans et qu’il y est bien intégré tant sur le plan professionnel que social, si bien qu’un retour dans son pays d’origine le confronterait à de nombreuses difficultés. Force est ainsi de constater qu’il n'invoque non seulement aucun fait nouveau, mais encore aucun fait pertinent, survenu depuis l'entrée en force de la décision du 8 mai 2013 et qui permettrait d’entrer en matière sur une demande de réexamen. Partant, c'est à juste titre que le SPOP a déclaré irrecevable la demande de réexamen et qu’il l’a, subsidiairement, rejetée. Il résulte de ce qui précède que le recours doit être rejeté et la décision attaquée, maintenue. L'arrêt sera rendu sans frais, ni allocation de dépens.</w:t>
      </w:r>
    </w:p>
    <w:p>
      <w:r>
        <w:rPr>
          <w:b/>
        </w:rPr>
        <w:t>E. 3</w:t>
      </w:r>
    </w:p>
    <w:p>
      <w:r>
        <w:t>Il résulte des considérants qui précèdent que le recours doit être rejeté et la décision attaquée maintenue. Conformément aux art. 45 et 48 LPA-VD, un émolument de justice sera mis à la charge du recourant, qui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