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PE.2013.0221 vom 12. Dezember 2013</w:t>
      </w:r>
    </w:p>
    <w:p>
      <w:r>
        <w:t>VD Tribunal cantonal, 2013-12-12, FR</w:t>
      </w:r>
    </w:p>
    <w:p>
      <w:r>
        <w:rPr>
          <w:b/>
        </w:rPr>
        <w:t xml:space="preserve">Quelle: </w:t>
      </w:r>
      <w:r>
        <w:t>https://mcp.opencaselaw.ch/entscheid/vd_omni_PE.2013.0221</w:t>
      </w:r>
    </w:p>
    <w:p>
      <w:r>
        <w:t>FR: VD_OMNI PE.2013.0221 du 12 décembre 2013</w:t>
      </w:r>
    </w:p>
    <w:p>
      <w:r>
        <w:t>IT: VD_OMNI PE.2013.0221 del 12 dicembre 2013</w:t>
      </w:r>
    </w:p>
    <w:p>
      <w:pPr>
        <w:pStyle w:val="Heading2"/>
      </w:pPr>
      <w:r>
        <w:t>Regeste</w:t>
      </w:r>
    </w:p>
    <w:p>
      <w:r>
        <w:t>A. X. Y.______________ c/Service de la population (SPOP) | La recourante, ressortissante turque âgée de 30 ans, est divorcée de son époux, ressortissant suisse, depuis septembre 2012. Elle ne peut pas se prévaloir de l'art. 50 al. 1 let. a LEtr, dans la mesure où l'union conjugale n'a pas duré trois ans. Elle n'établit pas avoir été victime de violences conjugales et ses allégations selon lesquelles elle ferait l'objet de menaces de mort de la part de sa famille suite à son divorce sont contradictoires et peu vraisemblables; elle ne se trouve en outre pas dans un cas de rigueur au sens de l'art. 30 al. 1 let. b LEtr. Recours rejeté. Recours au TF irrecevable (2C_70/2014 du 28 janvier 2014)</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Selon l'art. 42 al. 1 LEtr, le conjoint d'un ressortissant suisse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L'art. 51 al. 1 let. a LEtr précise que les droits prévus à l'art. 42 LEtr s'éteignent s'ils sont invoqués abusivement, notamment pour éluder les dispositions de la LEtr ou ses dispositions d'exécution. Il est question d'abus de droit, en particulier, lorsqu'une institution juridique est utilisée à l'encontre de son but pour réaliser des intérêts qu'elle n'est pas destinée à protéger (ATF 133 II 6 consid. 3.2 p. 12, et la réf. cit.). Compte tenu des nouvelles dispositions sur le regroupement familial introduites par la LEtr, en particulier de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En revanche, s'il n'y a pas de vie commune, les conditions auxquelles est soumise l'existence d'un droit à l'octroi et à la prolongation de l'autorisation de séjour ne sont pas remplies et la question d'un abus de droit ne se pose même pas (ATF 136 II 113 consid. 3.2 p. 116; 2C_487/2010 du 9 novembre 2010 consid. 5; 2C_167/2010 du 3 août 2010 consid. 6.3).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(cf. Directives sur le domaine des étrangers édictées par l'Office fédéral des migrations [ ODM ] , version du 30.09.11, n° 6.14.1). b) En l’espèce, force est de constater que le divorce des époux a été prononcé le 6 septembre 2012 ; il en résulte que les conditions posées par les art. 42 al. 1 et 49 LEtr à la prolongation de l'autorisation de séjour de la recourante ne sont plus remplies. L'art. 50 al. 1 let. a LEtr ne saurait non plus trouver application, dans la mesure où l'union conjugale n'a pas duré trois ans, la recourante et son époux s'étant séparés trois semaines après leur mariage. La recourante ne le conteste d’ailleurs pas. La première des deux conditions cumulatives de l’art. 50 al. 1 let. a LEtr n’étant pas remplie, point n’est besoin d’examiner la seconde exigence relative à l’intégration de la recourante.</w:t>
      </w:r>
    </w:p>
    <w:p>
      <w:r>
        <w:rPr>
          <w:b/>
        </w:rPr>
        <w:t>E. 3</w:t>
      </w:r>
    </w:p>
    <w:p>
      <w:r>
        <w:t>a) Les raisons personnelles majeures visées à l'art. 50 al. 1 let. b LEtr et à l'art. 77 al. 1 let. b de l'ordonnance du 24 octobre 2007 relative à l'admission, au séjour et à l'exercice d'une activité lucrative (OASA; RS 142.201)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elle doit avoir atteint une certaine gravité. Tel est le cas lorsque la personnalité de l’étranger, venu en Suisse au titre du regroupement familial, est sérieusement menacée du fait de la vie commune et que la poursuite de l’union conjugale ne peut être raisonnablement exigée d’elle (ATF 2C_554/2009 du 12 mars 2010 consid. 2.1).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(Directives ODM, version du 30.09.11, ch. 6.14.3). b) En l’occurrence, la recourante n’allègue pas avoir subi des violences conjugales. Elle invoque, en revanche, faire l’objet de menaces de mort de la part de sa famille suite à son divorce. Lors de son arrivée en Suisse en 2005, la recourante avait déjà déclaré subir des pressions et des maltraitances de la part de son beau-père afin qu’elle épouse le fils de ce dernier. L’ODM n’avait toutefois pas considéré les allégations de l’intéressée vraisemblables dès lors qu’elle n’avait fourni que des explications très succinctes, en alléguant notamment que la date du mariage n’avait pas été fixée mais que les fiançailles devaient avoir lieu dans les deux mois à venir. De plus, comme l’avait relevé l’ODM si la recourante courait un danger, elle aurait demandé la protection de l’Etat français où elle a vécu plus de deux ans avant de venir en Suisse. Les allégations actuelles de la recourante semblent à nouveau contradictoires et invraisemblables puisqu’il est curieux que sa famille lui demande de rentrer au pays en apprenant qu’elle avait épousé un étranger puis la menace de mort alors qu’elle n’est plus mariée à cet homme. La recourante a certes produit une attestation établie par le syndic du quartier de la ville de 2******** attestant ses dires, toutefois au vu de ce qui précède, ce document ne saurait avoir une valeur probante. Par conséquent, aucun élément au dossier ne permet d’établir que la recourante serait en danger et que sa réintégration dans son pays d’origine serait compromise.</w:t>
      </w:r>
    </w:p>
    <w:p>
      <w:r>
        <w:rPr>
          <w:b/>
        </w:rPr>
        <w:t>E. 4</w:t>
      </w:r>
    </w:p>
    <w:p>
      <w:r>
        <w:t>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 PE.2011.0319 précité consid. 2a, et la référence citée). b) En l’espèce, il apparaît que la recourante séjourne en Suisse depuis quatre ans, où elle y a auparavant vécu trois ans. Il convient donc d’admettre qu’elle a passé la majeure partie de sa vie en 3********. S’il est louable que la recourante ait toujours fait preuve d’une indépendance financière et qu’elle donne entière satisfaction à son employeur actuel, la gérante du restaurant « Z.________ », force est cependant de constater qu’elle ne dispose pas de qualifications professionnelles particulières. En outre, aucun enfant n’est issu de son union et aucun élément du dossier ne permet de penser qu'elle aurait ici un réseau de connaissances et d'amis particulièrement étendu en dehors des membres de sa communauté et de sa famille. Enfin, la recourante est jeune, apparemment en bonne santé et au bénéfice d’une expérience professionnelle, rien ne permet dès lors de penser qu’elle ne pourrait pas se réintégrer dans son pays d’origine. La recourante ne saurait ainsi se prévaloir de l'art. 30 al. 1 let. b LEtr.</w:t>
      </w:r>
    </w:p>
    <w:p>
      <w:r>
        <w:rPr>
          <w:b/>
        </w:rPr>
        <w:t>E. 5</w:t>
      </w:r>
    </w:p>
    <w:p>
      <w:r>
        <w:t>Il résulte des considérants qui précèdent que le recours doit être rejeté et la décision attaquée maintenue.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