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PE.2013.0139 vom 5. Juni 2013</w:t>
      </w:r>
    </w:p>
    <w:p>
      <w:r>
        <w:t>VD Tribunal cantonal, 2013-06-05, FR</w:t>
      </w:r>
    </w:p>
    <w:p>
      <w:r>
        <w:rPr>
          <w:b/>
        </w:rPr>
        <w:t xml:space="preserve">Quelle: </w:t>
      </w:r>
      <w:r>
        <w:t>https://mcp.opencaselaw.ch/entscheid/vd_omni_PE.2013.0139</w:t>
      </w:r>
    </w:p>
    <w:p>
      <w:r>
        <w:t>FR: VD_OMNI PE.2013.0139 du 5 juin 2013</w:t>
      </w:r>
    </w:p>
    <w:p>
      <w:r>
        <w:t>IT: VD_OMNI PE.2013.0139 del 5 giugno 2013</w:t>
      </w:r>
    </w:p>
    <w:p>
      <w:pPr>
        <w:pStyle w:val="Heading2"/>
      </w:pPr>
      <w:r>
        <w:t>Regeste</w:t>
      </w:r>
    </w:p>
    <w:p>
      <w:r>
        <w:t>A. X.________ Y.________/Service de la population (SPOP) | Refus du SPOP (confirmé par l'arrêt PE.2010.0598) de délivrer une autorisation de séjour à un ressortissant brésilien, père d'une petite fille de nationalité portugaise. Demande de réexamen de cette décision rejetée par le SPOP. La situation du recourant depuis l'arrêt de la CDAP a évolué: il a désormais la garde partagée sur sa fille et l'autorité parentale conjointe. Les conditions de l'art. 24 annexe I ALCP, en relation avec l'arrêt CJCE Zhu et Chen, sont dès lors réalisées. Recours admis et renvoi de la cause au SPOP pour qu'il délivre une autorisation de séjour au recourant. Recours au TF interjeté par l'ODM rejeté par substitution de motifs (arrêt 2C_606/2013 du 4 avril 2014).</w:t>
      </w:r>
    </w:p>
    <w:p>
      <w:pPr>
        <w:pStyle w:val="Heading2"/>
      </w:pPr>
      <w:r>
        <w:t>Erwägungen</w:t>
      </w:r>
    </w:p>
    <w:p>
      <w:r>
        <w:rPr>
          <w:b/>
        </w:rPr>
        <w:t>E. 1</w:t>
      </w:r>
    </w:p>
    <w:p>
      <w:r>
        <w:t>Interjeté en temps utile (art. 95 de la loi sur la procédure administrative du 28 octobre 2008;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ème éd., Berne 2002, pp. 241 ss; Alfred Koelz/Isabelle Haener, Verwaltungsverfahren und Verwaltungsrechtspflege des Bundes, 2ème éd., Zurich 1998, n° 426, p. 157), vise quant à elle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(arrêts PE.2011.0443 et PE.2011.0372 précités, ainsi que les références) .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342;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(arrêt PE.2009.0026 précité; cf. JAAC 60.37 consid. 1b; P. Moor, op. cit., p. 342;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précité consid. 2). Enfin, selon le Tribunal fédéral, le simple écoulement du temps et une évolution normale de l'intégration en Suisse n'entraînent nullement une modification des circonstances de nature à admettre une reconsidération (TF 2A.180/2000 du 14 août 2000).</w:t>
      </w:r>
    </w:p>
    <w:p>
      <w:r>
        <w:rPr>
          <w:b/>
        </w:rPr>
        <w:t>E. 3</w:t>
      </w:r>
    </w:p>
    <w:p>
      <w:r>
        <w:t>a) Les recourants considèrent que la convention ratifiée par la Justice de paix attribuant aux parents l'autorité parentale conjointe et la garde partagée sur la recourante est une circonstance nouvelle qui doit conduire à la délivrance de l'autorisation de séjour requise. Par ailleurs, ils estiment que la décision attaquée consacre une violation du droit à une vie familiale de la recourante au sens des art. 8 de la Convention du 4 novembre 1950 de sauvegarde des droits de l’homme et des libertés fondamentales (CEDH; RS 0.101) et 9 de la Convention du 20 novembre 1989 relative aux droits de l'enfant (CDE; RS 0.107), dès lors que la présence de son père aux côtés de la recourante est incontestablement nécessaire, afin de lui garantir un développement harmonieux. b) Ce second moyen doit être rejeté dans le cadre de la présente procédure de réexamen. En effet, dans son arrêt du 17 février 2011 (cause PE.2010.0598), la CDAP avait déjà examiné la situation du recourant à l'aune de ces dispositions légales. Il avait déjà été retenu que des liens particulièrement forts unissaient le recourant à sa fille, mais que ce point n'était toutefois pas décisif dans la pesée des intérêts en présence, un poids prépondérant devant été accordé au comportement du recourant, qui ne pouvait être qualifié d'irréprochable. c) aa) Il est incontestable que la situation du recourant s'est modifiée en droit par rapport à celle qui était la sienne lors de la procédure ayant conduit au premier refus de l'autorisation de séjour requise. Alors qu'à l'époque, il exerçait sur sa fille un droit de visite plus large que ce qui se pratique usuellement en présence de parents séparés, il bénéficie dorénavant de l'autorité parentale sur celle-ci, qu'il exerce conjointement avec la mère, ainsi que d'une garde partagée. Ces nouveaux régimes ont aussi une incidence directe sur la prise en charge financière de l'enfant, que chaque parent assume dorénavant par moitié. bb) L'art. 24 § 1 annexe I ALCP, figurant sous le chapitre V intitulé "Personnes n'exerçant pas une activité économique" , prévoit qu' u 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 financiers suffisants pour ne devoir faire appel à l'aide sociale pendant leur séjour (let. a) et d'une assurance-maladie couvrant l'ensemble des risques (let. b) .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 2 annexe I ALCP). Selon l'art. 16 al. 1 OLCP ,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2C_574/2010 du 15 novembre 2010 consid. 2.2.2; arrêt PE.2010.0280 du 16 novembre 2011 consid. 7a). Il importe peu, pour apprécier la situation économique du requérant, que ce dernier génère lui-même ses moyens financiers ou que ceux-ci soient procurés par un tiers (ATF 135 II 265 consid. 3.3 p. 269). Il appartient par contre au requérant de démontrer qu'il dispose de moyens d'existence suffisants (ATF 2C_624/2010 du 8 septembre 2010). Dans un arrêt récent (ATF 2C_574/2010 du 15 novembre 2010), le Tribunal fédéral a pris en compte l'arrêt de la Cour de Justice des Communautés européennes du 19 octobre 2004 C-200/02 Zhu et Chen dans l'interprétation de l'art. 6 ALCP et de l'art. 24 annexe I ALCP concernant les personnes n'exerçant pas d'activité économique. Selon l'arrêt en question, l'article 18 CE et la directive 90/364/CEE du Conseil du 28 juin 1990 relative au droit de séjour confèrent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Ces mêmes dispositions permettent au parent qui a effectivement la garde de cet enfant de séjourner avec lui dans l'Etat membre d'accueil. cc) Dans le cadre de la décision rendue le 17 février 2011, la cour de céans n'était pas entrée en matière sur une application de l'art. 24 annexe I ALCP et de la jurisprudence y relative, au motif que le recourant n'avait pas la garde de sa fille. Or, comme déjà indiqué, le recourant a depuis le 28 mars 2012 la garde, certes partagée, sur celle-ci. Il exerce aussi l'autorité parentale conjointe sur cette enfant. Or, rien ne permet de penser qu'il s'agit là de modalités prévues exclusivement pour les besoins de la procédure et qu'à ce titre, les recourants commettraient un abus de droit à s'en prévaloir. Il s'agit assurément de faits nouveaux que l'ont peut qualifier d'importants et qui justifient de faire bénéficier le recourant de la jurisprudence figurant à l'ATF 2C_574/2010 précité, pour autant que les conditions d'application de l'art. 24 annexe I ALCP soient réunies. S'agissant de ces dernières, force est de constater qu'elles sont respectées. En effet, la mère de la recourante est financièrement autonome. Il en ira de même du recourant lorsque celui-ci aura pu débuter son activité professionnelle qui lui est garantie. Selon le formulaire "Analyse des conditions du regroupement familial" , le budget du recourant présentera alors un solde de 1'050 fr., prise en charge de la recourante comprise, notamment de son assurance-maladie. C'est ainsi à tort que l'autorité intimée a refusé de délivrer au recourant l'autorisation de séjour sollicitée.</w:t>
      </w:r>
    </w:p>
    <w:p>
      <w:r>
        <w:rPr>
          <w:b/>
        </w:rPr>
        <w:t>E. 4</w:t>
      </w:r>
    </w:p>
    <w:p>
      <w:r>
        <w:t>Il résulte des considérants qui précèdent que le recours doit être admis et la décision attaquée, annulée. Le dossier sera renvoyé à l'autorité intimée pour qu'elle délivre au recourant l'autorisation de séjour sollicitée. Vu l'issue du litige, les frais du présent arrêt seront laissés à la charge de l'Etat (art. 49 et 52 LPA-VD). Les recourants, qui obtiennent gain de cause par l'intermédiaire du CSP, ont droit par ailleurs à des dépens, à la charge de l'autorité intimée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