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PE.2013.0138 vom 18. September 2013</w:t>
      </w:r>
    </w:p>
    <w:p>
      <w:r>
        <w:t>VD Tribunal cantonal, 2013-09-18, FR</w:t>
      </w:r>
    </w:p>
    <w:p>
      <w:r>
        <w:rPr>
          <w:b/>
        </w:rPr>
        <w:t xml:space="preserve">Quelle: </w:t>
      </w:r>
      <w:r>
        <w:t>https://mcp.opencaselaw.ch/entscheid/vd_omni_PE.2013.0138</w:t>
      </w:r>
    </w:p>
    <w:p>
      <w:r>
        <w:t>FR: VD_OMNI PE.2013.0138 du 18 septembre 2013</w:t>
      </w:r>
    </w:p>
    <w:p>
      <w:r>
        <w:t>IT: VD_OMNI PE.2013.0138 del 18 settembre 2013</w:t>
      </w:r>
    </w:p>
    <w:p>
      <w:pPr>
        <w:pStyle w:val="Heading2"/>
      </w:pPr>
      <w:r>
        <w:t>Regeste</w:t>
      </w:r>
    </w:p>
    <w:p>
      <w:r>
        <w:t>A. X.________/Service de l'emploi | Confirmation de la décision du Service de l'emploi prononçant un avertissement à l'égard d'un employeur ayant utilisé les services d'un ressortissant étranger qui n'était pas en possession d'une autorisation de séjour et de travail. Peu importe que ce dernier n'ait pas été rémunéré pour son travail.</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Est considérée comme activité lucrative toute activité salariée ou indépendante qui procure normalement un gain, même si elle est exercée gratuitement.</w:t>
      </w:r>
    </w:p>
    <w:p>
      <w:r>
        <w:rPr>
          <w:b/>
        </w:rPr>
        <w:t>E. 3</w:t>
      </w:r>
    </w:p>
    <w:p>
      <w:r>
        <w:t>La recourante conteste en outre devoir s'acquitter de l'émolument administratif fixé à 250 francs. Aux termes de l'art. 123 al. 1 LEtr, des émoluments peuvent être prélevés pour les décisions rendues et les actes officiels effectués en vertu de ladite loi. Les débours occasionnés par les procédures prévues dans la LEtr peuvent être facturés en sus. Il est précisé à l'art. 5 al. 1 ch. 23a du règlement cantonal du 8 janvier 2001 fixant les émoluments en matière administrative (RE-Adm; RSV 172.55.1) que le Département de l'économie perçoit un émolument de 250 fr. pour une sommation en cas de non-respect des prescriptions du droit des étrangers. En l'espèce, l'émolument réclamé dans la décision querellée est bien de 250 fr. Il n'est pas allégué en quoi ce montant serait excessif. La décision de l'autorité intimée doit par conséquent être maintenue sur ce point également.</w:t>
      </w:r>
    </w:p>
    <w:p>
      <w:r>
        <w:rPr>
          <w:b/>
        </w:rPr>
        <w:t>E. 4</w:t>
      </w:r>
    </w:p>
    <w:p>
      <w:r>
        <w:t>Les considérants qui précèdent conduisent au rejet du recours et au maintien de la décision attaquée. L'émolument de justice est mis à la charge de la recourante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