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PE.2013.0133 vom 21. Oktober 2013</w:t>
      </w:r>
    </w:p>
    <w:p>
      <w:r>
        <w:t>VD Tribunal cantonal, 2013-10-21, FR</w:t>
      </w:r>
    </w:p>
    <w:p>
      <w:r>
        <w:rPr>
          <w:b/>
        </w:rPr>
        <w:t xml:space="preserve">Quelle: </w:t>
      </w:r>
      <w:r>
        <w:t>https://mcp.opencaselaw.ch/entscheid/vd_omni_PE.2013.0133</w:t>
      </w:r>
    </w:p>
    <w:p>
      <w:r>
        <w:t>FR: VD_OMNI PE.2013.0133 du 21 octobre 2013</w:t>
      </w:r>
    </w:p>
    <w:p>
      <w:r>
        <w:t>IT: VD_OMNI PE.2013.0133 del 21 ottobre 2013</w:t>
      </w:r>
    </w:p>
    <w:p>
      <w:pPr>
        <w:pStyle w:val="Heading2"/>
      </w:pPr>
      <w:r>
        <w:t>Regeste</w:t>
      </w:r>
    </w:p>
    <w:p>
      <w:r>
        <w:t>X._______________ c/Service de la population (SPOP) | Refus de prolonger une autorisation de séjour pour un étranger originaire d'un Etat tiers, suite à la dissolution de l'union conjugale (consid. 3). Absence de raisons personnelles majeures permettant de maintenir le droit au séjour en Suisse (consid. 4). Une cohabitation d'un peu plus d'une année avec une personne titulaire d'une autorisation de séjour, mais toujours mariée à un tiers, n'est pas suffisante pour fonder un droit au séjour au sens de l'art. 8 CEDH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Invité à produire un témoignage écrit de son amie quant à l'intensité de sa relation avec le recourant, ce dernier n'a pas donné suite, se limitant à confirmer que son amie entendait divorcer de son mari actuel. Il convient donc de statuer en l'état du dossier (art. 30 al. 2 LPA-VD) et de renoncer à plus ample instruction, sans qu'il n'en résulte une violation du droit d’être entendu des parties (arrêts GE.2012.0105 du 29 octobre 2012; GE.2008.0109 du 29 avril 2009).</w:t>
      </w:r>
    </w:p>
    <w:p>
      <w:r>
        <w:rPr>
          <w:b/>
        </w:rPr>
        <w:t>E. 3</w:t>
      </w:r>
    </w:p>
    <w:p>
      <w:r>
        <w:t>a) Aux termes de l'art. 43 al. 1 de la loi fédérale du 16 décembre 2005 sur les étrangers (LEtr; RS 142.20), le conjoint étranger du titulaire d'une autorisation d'établissement, ainsi que ses enfants célibataires de moins de 18 ans ont droit à l'octroi d'une autorisation de séjour et à la prolongation de sa durée de validité à condition de vivre en ménage commun avec lui. b) En l'espèce, le recourant ne vit plus en ménage commun avec son épouse depuis le mois de novembre 2011 et il est divorcé depuis le 16 avril 2012. Il ne peut dès lors plus se prévaloir de son mariage pour fonder la poursuite de son séjour en Suisse.</w:t>
      </w:r>
    </w:p>
    <w:p>
      <w:r>
        <w:rPr>
          <w:b/>
        </w:rPr>
        <w:t>E. 4</w:t>
      </w:r>
    </w:p>
    <w:p>
      <w:r>
        <w:t>a) Aux termes de l'art. 50 al. 1 LEtr, après dissolution de la famille, le droit du conjoint à l'octroi d'une autorisation de séjour et à la prolongation de sa durée de validité en vertu de l'art. 43 al. 1 LEtr subsiste lorsque l'union conjugale a duré au moins trois ans et que l'intégration est réussie (let. a) ou lorsque la poursuite du séjour en Suisse s'impose pour des raisons personnelles majeures (let. b). b) En l'espèce, l'union conjugale ayant duré moins de trois ans, seule l'existence de raisons personnelles majeures au sens de l'art. 50 al. 1 let. b LEtr pourrait justifier la poursuite du séjour en Suisse du recourant. L'art. 50 al. 2 LEtr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p. 4; ATF 2C_663/2009 du 23 février 2010 consid. 3).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précité consid. 3 in fine et les références). Le Tribunal fédéral a par exemple considéré que le simple fait que le recourant, jeune homme en bonne santé, sans charge de famille et qui avait vécu la plus grande partie de sa vie au Togo, semblait relativement bien intégré en Suisse, qu'il avait un emploi stable en tant que portier dans un hôtel et qu'il n'avait pas de dettes, ne justifiait pas la prolongation de son autorisation de séjour pour des raisons personnelles majeures en application de l'art. 50 al. 1 let. b LEtr, même en retenant un séjour de sept ans en Suisse et le contexte difficile dans lequel il s'était séparé de son épouse (ATF 2C_1145/2012 du 27 novembre 2012). Dans le cas particulier, le mariage du requérant n'a pas duré une année et la communauté conjugale était dissoute, de fait, après six mois. Des dires du recourant, il n'a subi aucune violence. Le requérant ne séjourne légalement en Suisse que depuis un peu plus de trois ans, n'a pas fait preuve d'une intégration socioprofessionnelle particulièrement bonne, et a même fait l'objet de plusieurs condamnations pénales. Agé de 33 ans, le recourant est encore jeune et en bonne santé. Au regard de ces éléments, et malgré le fait que les deux sœurs et le frère du recourant séjournent régulièrement en Suisse, il n'apparaît pas que sa réintégration sociale au Brésil, pays dans lequel il a vécu la plus grande partie de sa vie, soit fortement compromise. Dans ces conditions, il n'existe pas de raisons personnelles majeures qui justifient le renouvellement de son autorisation de séjour sur la base de l'art. 50 al. 1 let. b LEtr.</w:t>
      </w:r>
    </w:p>
    <w:p>
      <w:r>
        <w:rPr>
          <w:b/>
        </w:rPr>
        <w:t>E. 5</w:t>
      </w:r>
    </w:p>
    <w:p>
      <w:r>
        <w:t>Le recourant demande à pouvoir rester en Suisse dans l'attente de son remariage avec sa compagne qui, selon la teneur de l'acte de recours, est en instance de divorce. a) Un étranger peut, selon les circonstances, se prévaloir de l'art. 8 par. 1 de la Convention de sauvegarde des droits de l'homme et des libertés fondamentales du 4 novembre 1950 (CEDH; RS 0.101) pour s'opposer à l'éventuelle séparation de sa famille et obtenir ainsi une autorisation de séjour. Encore faut-il, pour pouvoir invoquer la protection familiale découlant de cette disposition, qu'il entretienne une relation étroite et effective (cf. ATF 131 II 265 consid. 5 p. 269) avec une personne de sa famille ayant le droit de résider durablement en Suisse (sur cette notion, cf. ATF 135 I 143 consid. 1.3.1 p. 145 s.). D'après la jurisprudence, les relations familiales protégées par l'art. 8 par. 1 CEDH sont avant tout les rapports entre époux ainsi qu'entre parents et enfants mineurs vivant ensemble (cf. ATF 127 II 60 consid. 1d/aa p. 65).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(ATF 2C_207/2012 du 31 mai 2012 consid. 3.3).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La Cour européenne des droits de l'homme,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(cf. arrêt Cour européenne des droits de l'homme du 20 janvier 2009, aff. Serife Yigit c. Turquie, requête no 3976/05 et les arrêts cités).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 européenne des droits de l'homme Kroon et autres c. Pays-Bas du 27 octobre 1994, requête n° 18535/91, par. 7 et 30; X, Y et Z c. Royaume-Uni du 22 avril 1997, requête n° 21830/93, par. 12 ss et 36 s.; aff. Serife Yigit c. Turquie, requête no 3976/05, du 20 janvier 2009).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ATF 2C_634/2011 du 27 juin 2012 consid. 4.2.2; 2C_97/2010 du 4 novembre 2010 consid. 3.1 et 3.2; 2C_25/2010 du 2 novembre 2010 consid. 6.1). b) L'art. 30 al. 1 let. b LEtr prévoit qu'il est possible de déroger aux conditions d'admission (art. 18 à 29 LEtr), notamment  pour tenir compte des cas individuels d'une extrême gravité ou d'intérêts publics majeurs. Les Directives de l'Office fédéral des migrations (ODM) " I. Domaine des étrangers ", dans leur version au 1 er février 2013, précisent les conditions dans lesquelles une telle dérogation peut être accordée dans le cas d'un couple concubin sans enfant (5.6.2.2.1): " Le partenaire d’un citoyen suisse, d’un étranger titulaire d’une autorisation d’établissement ou d’une personne au bénéfice d’une autorisation de séjour à l’année (titre de séjour C ou B) peut obtenir une autorisation de séjour en application de l’art. 30, let. b, LEtr lorsque: • l'existence d'une relation stable d'une certaine durée est démontrée; • l'intensité de la relation est confirmée par d'autres éléments, tels que a.    une convention entre concubins réglant la manière et l'étendue d'une prise en charge des devoirs d'assistance (par ex. contrat de partenariat), b.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reprennent donc les critères de la jurisprudence précitée. c) Le Tribunal fédéral a jugé qu’une cohabitation d’une année et demie n’avait pas duré suffisamment longtemps pour que l’intéressée puisse bénéficier du droit au regroupement familial tiré de l'art. 8 CEDH (cf. ATF 2C_913/2010 du 30 novembre 2010; ATF 2C_300/2008 du 17 juin 2008). L’existence d’un concubinage stable n’a également pas été retenue dans le cas d’un couple vivant ensemble depuis trois ans, mais sans projet de mariage, ni d’enfant (ATF 2C_97/2010 du 4 novembre 2010). Selon la jurisprudence cantonale, une cohabitation de deux ans n'est pas suffisante pour démontrer le caractère stable d'une relation entre concubins (arrêts PE.2013.0048 du 29 avril 2013 consid. 2c)dd); PE.2010.0103 du 4 novembre 2010 consid. 2c ; PE.2008.0420 du 9 septembre 2009 consid. 4c; PE.2008.0455 du 30 décembre 2009 consid. 1 cc). Dans l'arrêt PE.2008.0455 du 30 décembre 2009, le Tribunal cantonal a également confirmé le refus de délivrer une autorisation de séjour à un étranger en relevant notamment qu'une cohabitation d’un peu moins de trois ans avec sa concubine ne constituait pas encore un gage de stabilité dans la relation, ce d’autant moins qu’aucun enfant n’était né de leur relation et qu’aucun mariage n’avait été annoncé au cours de la procédure. d) En l’espèce, le recourant était encore annoncé vivre chez sa sœur en mai 2012 et il a allégué vivre avec sa nouvelle compagne depuis l'été 2012. La vie commune ne dure ainsi que depuis un peu plus d'une année au maximum et aucun enfant commun n'a été le fruit de cette union. La durée de cette relation est ainsi trop brève compte tenu de la jurisprudence susmentionnée. A cela s'ajoute que la compagne du recourant est toujours mariée à ce jour, même si elle apparaît avoir entrepris des démarches en vue de divorcer. De telles intentions de divorce ne permettent pas encore de déduire une volonté sérieuse de se remarier ensuite avec le recourant. Force est donc de conclure que l'intensité de cette relation n'est pas démontrée, de sorte que le recourant ne peut se prévaloir de l'art. 8 CEDH ou de l'art. 30 al. 1 let. b LEtr pour bénéficier d'un regroupement familial auprès de sa compagne.</w:t>
      </w:r>
    </w:p>
    <w:p>
      <w:r>
        <w:rPr>
          <w:b/>
        </w:rPr>
        <w:t>E. 6</w:t>
      </w:r>
    </w:p>
    <w:p>
      <w:r>
        <w:t>Les considérants qui précèdent conduisent au rejet du recours et à la confirmation de la décision attaquée. L'autorité intimée impartira au recourant un nouveau délai de départ. Vu l'issue du litige, le recourant supportera les frais de justice et n'aura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