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PE.2013.0102 vom 17. Juni 2013</w:t>
      </w:r>
    </w:p>
    <w:p>
      <w:r>
        <w:t>VD Tribunal cantonal, 2013-06-17, FR</w:t>
      </w:r>
    </w:p>
    <w:p>
      <w:r>
        <w:rPr>
          <w:b/>
        </w:rPr>
        <w:t xml:space="preserve">Quelle: </w:t>
      </w:r>
      <w:r>
        <w:t>https://mcp.opencaselaw.ch/entscheid/vd_omni_PE.2013.0102</w:t>
      </w:r>
    </w:p>
    <w:p>
      <w:r>
        <w:t>FR: VD_OMNI PE.2013.0102 du 17 juin 2013</w:t>
      </w:r>
    </w:p>
    <w:p>
      <w:r>
        <w:t>IT: VD_OMNI PE.2013.0102 del 17 giugno 2013</w:t>
      </w:r>
    </w:p>
    <w:p>
      <w:pPr>
        <w:pStyle w:val="Heading2"/>
      </w:pPr>
      <w:r>
        <w:t>Regeste</w:t>
      </w:r>
    </w:p>
    <w:p>
      <w:r>
        <w:t>X.________ Sàrl/Service de l'emploi Contrôle du marché du travail et protection des travailleurs, Service de la population (SPOP) | Refus confirmé d'une demande de main d'oeuvre étrangère en faveur d'un ressortissant bulgare engagé comme aide-jardinier. L'employeur n'a pas démontré avoir déployé des efforts suffisants pour trouver un travailleur sur le marché indigène.</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l'emploi. Déposé en temps utile, selon les formes prescrites par la loi, le présent recours est formellement recevable, de sorte qu'il y a lieu d'entrer en matière sur le fond.</w:t>
      </w:r>
    </w:p>
    <w:p>
      <w:r>
        <w:rPr>
          <w:b/>
        </w:rPr>
        <w:t>E. 2</w:t>
      </w:r>
    </w:p>
    <w:p>
      <w:r>
        <w:t>Le litige porte sur la question de savoir si c'est à bon droit que l'autorité intimée a refusé d'accorder une autorisation de séjour avec activité lucrative en faveur de C. D.________.</w:t>
      </w:r>
    </w:p>
    <w:p>
      <w:r>
        <w:rPr>
          <w:b/>
        </w:rPr>
        <w:t>E. 3</w:t>
      </w:r>
    </w:p>
    <w:p>
      <w:r>
        <w:t>a) L'Accord du 21 juin 1999 entre la Confédération suisse, d’une part, et la Communauté européenne et ses Etats membres, d’autre part, sur la libre circulation des personnes (ALCP; RS.142.112.681) garantit aux ressortissants des Etats contractants un droit de séjour et d’accès à une activité économique (art. 1 let. a et 4 ALCP). L’adhésion de la Bulgarie et de la Roumanie à l’Union Européenne, le 1 er janvier 2007, n'a pas entraîné l’extension à ces Etats de l'ALCP. Le</w:t>
      </w:r>
    </w:p>
    <w:p>
      <w:r>
        <w:rPr>
          <w:b/>
        </w:rPr>
        <w:t>E. 8</w:t>
      </w:r>
    </w:p>
    <w:p>
      <w:r>
        <w:t>février 2009, le peuple suisse a cependant accepté, en même temps que la reconduction de cet accord, le protocole d’extension de ce dernier à la Bulgarie et à la Roumanie (PA 2 ALCP; RS 0.142.112.681.1). Ce protocole, entré en vigueur le 1 er juin 2009, prévoit une réglementation transitoire à l'égard de ces deux nouveaux Etats en ajoutant notamment à l'art. 10 ALCP les alinéas 1b et 2b. L'alinéa 1b précise que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L'alinéa 2b indique quant à lui que la Suisse, la République de Bulgarie et la Roumanie peuvent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Ainsi, jusqu'à la fin de la période transitoire, qui s'étend, en l'état, jusqu'au 31 mai 2014 (RO 2011 4127; voir ég. ATF 2D_50/2012 du 1 er avril 2013 consid. 1.3; ), les restrictions relatives au marchés du travail prévues par les alinéas 1b et 2b PA 2 ALCP précités (nombres maximum spécifiques, priorité aux travailleurs indigènes et contrôle des conditions de rémunération et de travail) s'appliquent. S'agissant du contrôle de la priorité des travailleurs indigènes - en relation notamment avec l'art. 10 par. 2a ALCP -, l'Office fédéral des migrations (ODM)  précise ce qui suit dans sa directive " II. Accord sur la circulation des personnes " (point 5.5.2 de la version du 1er mai 2011):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Il ressort de ce dernier paragraphe que l'art. 21 loi fédérale du 16 décembre 2005 sur les étrangers (LEtr; RS 142.20), intitulé "Ordre de priorité" , est applicable, au moins par analogie, à l'admission en vue de l'exercice d'une activité lucrative en Suisse des ressortissants des nouveaux Etats membres de l'Union européenne (arrêt 2C_217/2009 du 11 septembre 2009 consid. 2.2), comme en l'occurrence C. D.________.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la directive " I. Domaine des étrangers " de l’ODM prévoit en particulier ce qui suit (version 30.09.11, ch. 4.3.2.2, p. 11):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Dans leur jurisprudence constante, le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en dernier lieu, arrêts PE.2012.0285 du 4 décembre 2012; PE.2012.0041 du 14 juin 2012; PE.2010.0106 du 11 mai 2010, et les arrêts cités).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PE.2012.0285, précité; PE.2012.0010 du 23 mars 2012). c) En l'espèce, la recourante n'a publié qu'une seule annonce dans la presse. Qui plus est, cette annonce a paru le 21 février 2013, soit après le dépôt de la demande de main-d’œuvre étrangère, et même une dizaine de jours après la décision de refus de l'autorité intimée. Force est également de constater que l'inscription du poste auprès de l'ORP n'a été effectuée qu'après le dépôt de la demande de titre de séjour et après la conclusion du contrat de travail. En dehors de ces éléments, la recourante ne démontre pas que des démarches concrètes en vue de trouver du personnel auraient été accomplies. En particulier, on aurait pu s'attendre, en sus de nouvelles annonces dans la presse, à ce que cette offre d'emploi soit annoncée auprès d'agences de placement privées ou sur des sites Internet de recherche d'emploi. Le fait qu'aucune des onze réponses à l'annonce de l'ORP n'ait été retenue pas la recourante ne justifie pas encore d'accorder une dérogation en faveur de C. D.________. En effet, la recourante a refusé six des onze dossiers qui lui ont été soumis, au  seul motif qu'aucun candidat n'aurait répondu au profil recherché, sans autre explication valable. Par ailleurs, à supposer même que les motifs invoqués par la recourante eussent été valables, force est d'admettre au regard des principes et exemples jurisprudence rappelés au considérant qui précède que ses recherches étaient largement insuffisantes. Dans ce sens, la recourante a d'ailleurs elle-même admis que C. D.________ n'était pas le seul employé paysagiste sur le marché. Dans ces circonstances, au vu des exigences élevées posées par la jurisprudence en la matière, on ne saurait retenir que tous les efforts ont été déployés par la recourante en vue de trouver un travailleur sur le marché indigène, mais que c'est par pure convenance personnelle qu'elle a arrêté son choix sur la personne de C. D.________. La recourante n'a ainsi pas respecté l'ordre de priorité auquel est soumis l'engagement d'un ressortissant bulgare. C'est dès lors à juste titre que l'autorité intimée a refusé d'octroyer l'autorisation sollicitée. 4. Les considérants qui précèdent conduisent au rejet du recours et à la confirmation de la décision attaquée. La recourant, qui succombe, supportera les frais de justice (art. 49 al. 1 LPA-VD). Elle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