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PE.2013.0029 vom 18. März 2013</w:t>
      </w:r>
    </w:p>
    <w:p>
      <w:r>
        <w:t>VD Tribunal cantonal, 2013-03-18, FR</w:t>
      </w:r>
    </w:p>
    <w:p>
      <w:r>
        <w:rPr>
          <w:b/>
        </w:rPr>
        <w:t xml:space="preserve">Quelle: </w:t>
      </w:r>
      <w:r>
        <w:t>https://mcp.opencaselaw.ch/entscheid/vd_omni_PE.2013.0029</w:t>
      </w:r>
    </w:p>
    <w:p>
      <w:r>
        <w:t>FR: VD_OMNI PE.2013.0029 du 18 mars 2013</w:t>
      </w:r>
    </w:p>
    <w:p>
      <w:r>
        <w:t>IT: VD_OMNI PE.2013.0029 del 18 marzo 2013</w:t>
      </w:r>
    </w:p>
    <w:p>
      <w:pPr>
        <w:pStyle w:val="Heading2"/>
      </w:pPr>
      <w:r>
        <w:t>Regeste</w:t>
      </w:r>
    </w:p>
    <w:p>
      <w:r>
        <w:t>A., B., C., D. et E. X.________/Service de la population (SPOP) | Recourant sous le coup d'une mesure d'expulsion du territoire suisse d'une durée indéterminée en raison des nombreuses infractions commises et de leur gravité. La naturalisation suisse de la fille du recourant ne constitue pas un fait nouveau susceptible de remettre en cause l'appréciation faite par les autorités administratives et judiciaires. Rejet du recours, confirmé par le TF (arrêt 2C_406/2013 du 23 septembre 2013).</w:t>
      </w:r>
    </w:p>
    <w:p>
      <w:pPr>
        <w:pStyle w:val="Heading2"/>
      </w:pPr>
      <w:r>
        <w:t>Erwägungen</w:t>
      </w:r>
    </w:p>
    <w:p>
      <w:r>
        <w:rPr>
          <w:b/>
        </w:rPr>
        <w:t>E. 1</w:t>
      </w:r>
    </w:p>
    <w:p>
      <w:r>
        <w:t>a) Selon l'art. 64 LPA-VD, une partie peut demander à l'autorité de réexaminer sa décision.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b) Le Tribunal fédéral a déduit de l'art. 4 aCst. (actuellement art. 9 Cst.) l'obligation pour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(cf.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(clôture de l'instruction; cf. P. Moor, Droit administratif, vol. II: Les actes administratifs et leur contrôle, Berne 2002, n o 2.4.4.1, p. 342;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 "Dauerverfügung" ; P. Moor, op. cit., p. 230; Koelz/Haener, op. cit., n° 444), ce qui est le cas, comme en l'espèce, d'une décision réglementant le statut d'une personne au regard des règles de police des étrangers (cf. arrêt TA bernois du 8 octobre 1992, JAB 1993, p. 244 consid. 2a; PE.2009.0026 du 11 mars 2009).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 En l'espèce, l’autorité intimée est entrée en matière sur la demande de réexamen, admettant implicitement que la naturalisation de la fille du recourant pouvait constituer un fait nouveau justifiant une entrée en matière. Elle l’a cependant considérée comme impropre à modifier l’issue de la procédure. A juste titre. En effet, on discerne mal en quoi l’obtention par la fille du recourant de la nationalité suisse est de nature à modifier l’analyse ayant conduit aux décisions successives rendues à l’encontre de A. X.________. Les éléments soulevés dans le cadre du recours ne diffèrent aucunement de ceux soulevés dans le cadre des précédentes procédure (présence en Suisse de la famille du recourant, écoulement du temps depuis les condamnations pénales), et l’on ne discerne pas – le recours demeure muet sur ce point – en quoi la naturalisation de C. X.________ serait susceptible de remettre en cause le fait que l’intérêt public à l’éloignement du recourant l’emporterait aujourd’hui sur son intérêt privé à pouvoir séjourner en Suisse. C’est le lieu de rappeler que A. X.________ a été condamné à 33 mois d'emprisonnement pour vol, tentative de vol, violation de domicile, dommages à la propriété, induction de la justice en erreur, entrave à l'action pénale, vol d'usage, actes d'ordre sexuel avec des enfants, contraintes sexuelles et viol. Les infractions sont graves et portent atteinte à des intérêts particulièrement protégés. Enfin, il convient également de souligner que la voie du réexamen ne saurait être utilisée pour remettre continuellement en question des décisions administratives. Or, il ressort de la procédure que A. X.________ conteste de manière systématique des décisions pourtant confirmées à plusieurs reprises par le Tribunal fédéral, se montrant par là manifestement peu disposé à se conformer à des décisions entrées en force.</w:t>
      </w:r>
    </w:p>
    <w:p>
      <w:r>
        <w:rPr>
          <w:b/>
        </w:rPr>
        <w:t>E. 2</w:t>
      </w:r>
    </w:p>
    <w:p>
      <w:r>
        <w:t>Manifestement mal fondé, le recours doit être rejeté et la décision attaquée, confirmée, sans qu'il ne soit nécessaire de procéder à un échange d'écritures (art. 82 LPA-VD). Succombant, le recourant supporte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