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PE.2013.0025 vom 16. April 2013</w:t>
      </w:r>
    </w:p>
    <w:p>
      <w:r>
        <w:t>VD Tribunal cantonal, 2013-04-16, FR</w:t>
      </w:r>
    </w:p>
    <w:p>
      <w:r>
        <w:rPr>
          <w:b/>
        </w:rPr>
        <w:t xml:space="preserve">Quelle: </w:t>
      </w:r>
      <w:r>
        <w:t>https://mcp.opencaselaw.ch/entscheid/vd_omni_PE.2013.0025</w:t>
      </w:r>
    </w:p>
    <w:p>
      <w:r>
        <w:t>FR: VD_OMNI PE.2013.0025 du 16 avril 2013</w:t>
      </w:r>
    </w:p>
    <w:p>
      <w:r>
        <w:t>IT: VD_OMNI PE.2013.0025 del 16 aprile 2013</w:t>
      </w:r>
    </w:p>
    <w:p>
      <w:pPr>
        <w:pStyle w:val="Heading2"/>
      </w:pPr>
      <w:r>
        <w:t>Regeste</w:t>
      </w:r>
    </w:p>
    <w:p>
      <w:r>
        <w:t>A. X.________/Service de la population (SPOP) | Ressortissant marocain ayant obtenu une autorisation de séjour à la suite de l'enregistrement de son partenariat avec un ressortissant français titulaire d'une autorisation de séjour (aujourd'hui d'une autorisation d'établissement). Confirmation de la révocation de cette autorisation. Le recourant ne peut en effet plus invoquer l'art. 3 annexe I ALCP pour demeurer en Suisse, le partenariat enregistré n'existant plus que formellement. Il ne peut pas non plus se prévaloir de l'art. 50 al. 1 LEtr, les conditions de cette disposition n'étant pas réalisées. En particulier, la réintégration du recourant dans son pays d'origine n'est pas fortement compromise. S'il est vrai que l'homosexualité est taboue au Maroc et punie d'une peine pouvant aller jusqu'à trois ans d'emprisonnement, elle peut selon la jurisprudence très bien se vivre, notamment dans les grandes villes, à condition qu'elle ne soit pas affichée publiquement. L'homosexualité du recourant ne l'exposera dès lors pas à un traitement prohibé par l'art. 3 CEDH ou 3 Conv. Torture. Recours en matière de droit public au TF rejeté, dans la mesure où il est recevable (2C_428/2013).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(auquel est assimilé le partenaire enregistré, eu égard à l'art. 52 LEtr et à la loi fédérale du 18 juin 2004 sur le partenariat enregistré entre personnes du même sexe – LPart; RS 211.231; voir à ce propos Minh Son Nguyen, Migrations et relations familiales: de la norme à la jurisprudence et vice versa, in Cesla Amarelle, Nathalie Christen et Minh Son Nguyen, Migrations et regroupement familial, Berne 2012, p. 205) et leurs descendants de moins de 21 ans ou à charge. Même lorsque les dispositions applicables ne le subordonnent pas au ménage commun des époux, le droit du conjoint étranger de séjourner en Suisse pendant toute la durée formelle du mariage n'est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l'art. 7 al. 1 de l'ancienne loi fédérale sur le séjour et l'établissement des étrangers (LSEE), afin de garantir le respect du principe de non-discrimination inscrit à l'art. 2 ALCP et d'assurer une certaine cohésion d'ensemble au système (ATF 130 II 113 consid. 7-10 p. 124-137; 2A.379/2003 du 6 avril 2004 consid. 3.2.2).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(ATF 130 II 113 consid. 10.2 p. 135; 128 II 145 consid. 2.2 p. 151 s.). c) En l'espèce, les partenaires X.________-Y.________ ne font plus ménage commun depuis plusieurs mois: selon le recourant, depuis avril 2012 et selon son partenaire, depuis avril 2011. Le recourant soutient certes dans ses écritures que cette séparation ne serait pas irrémédiable et qu'une réconciliation serait encore possible. Son partenaire a toutefois déclaré clairement, lors de son audition par la police le 7 juillet 2012, qu'il voulait mettre fin au partenariat enregistré et qu'il avait chargé son avocat d'introduire la procédure, le recourant refusant un accord à l'amiable. De plus, il a expliqué que le recourant l'avait trompé à de nombreuses reprises et qu'il n'excluait pas que ce dernier se soit mis en partenariat pour obtenir une autorisation de séjour. Le recourant n'a produit aucun document, notamment une attestation de son partenaire, indiquant que ce dernier aurait renoncé à mettre fin au partenariat enregistré et qu'il serait prêt à reprendre la vie commune. Le simple fait qu'aucune procédure n'aurait encore été introduite n'est pas décisif. A cela s'ajoute que, même si l'on retient les déclarations du recourant quant à la date de la séparation, les partenaires ne font plus ménage commun depuis maintenant douze mois, ce qui n'est pas négligeable. Au regard de tous ces éléments et quoi qu'en dise le recourant, force est d'admettre qu'une reprise de la vie commune n'apparaît guère envisageable et que c'est à juste titre que l'autorité intimée a considéré que le partenariat enregistré était vidé de sa substance. Le recourant ne peut dès lors plus se prévaloir de l'art. 3 annexe I ALCP pour demeurer en Suisse. Un éventuel droit à la prolongation de son autorisation de séjour doit par conséquent être examiné au regard de la LEtr et des ordonnances d'exécution.</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La notion d'union conjugale de l'art. 50 al. 1 let. a LEtr ne se confond pas avec le mariage. Alors que ce dernier peut être purement formel, l'union conjugale ( "eheliche Gemeinschaft" ) implique en principe la vie en commun des époux (cf. ATF 136 II 113 consid. 3.2 ;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précité, consid. 3.2 in fine et 3.3 ;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souligné par ailleurs que cette durée de trois ans vaut de façon absolue, quand bien même la fin de la vie conjugale serait intervenue quelques jours ou semaines seulement avant l'expiration de ce délai (cf. notamment arrêt du Tribunal fédéral 2C_748/2011 précité, ibid .). b) En l'espèce, les partenaires X.________-Y.________ ont enregistré leur partenariat le 18 mai 2009. Comme on l'a relevé ci-dessus, ils divergent en revanche sur la date de leur séparation: le recourant parle d'avril 2012 et son partenaire d'avril 2011. Point n'est besoin de trancher cette question, dès lors que, même en retenant les allégations du recourant, la limite de trois ans requise n'est pas atteinte. La première des conditions de l'art. 50 al. 1 let. a LEtr n'étant pas remplie, il n'est pas nécessaire d'examiner, à ce stade, si l'intégration est réussie. Le recourant ne peut dès lors pas invoquer l'application de l'art. 50 al. 1 let. a LEtr.</w:t>
      </w:r>
    </w:p>
    <w:p>
      <w:r>
        <w:rPr>
          <w:b/>
        </w:rPr>
        <w:t>E. 4</w:t>
      </w:r>
    </w:p>
    <w:p>
      <w:r>
        <w:t>novembre 1950 de sauvegarde des droits de l'homme et des libertés fondamentales (CEDH, RS 0.101) et de l'art. 3 de la Convention du 10 décembre 1984 contre la torture et autres peines ou traitements cruels, inhumains ou dégradants (Conv. torture, RS 0.105) en cas de retour dans son pays d'origine. Au regard de tous ces éléments, force est d'admettre que le recourant, qui est encore jeune et en bonne santé, devrait parfaitement être en mesure de se réintégrer tant professionnellement que socialement au Maroc, même si la Cour est consciente que cela ne se fera qu'au terme d'une période de réadaptation et que l'intéressé disposera d'une situation économique moins favorable que celle qu'il connaît en Suisse. Le fait que les conditions d'existence soient plus difficiles dans le pays de provenance, compte tenu d'un niveau de vie différent, n'est toutefois pas déterminant au regard de l'art. 50 al. 1 let. b LEtr (ATF 137 II 345 consid. 3.2.3). Le recourant ne peut dès lors pas se prévaloir non plus de l'application de l'art. 50 al. 1 let. a LEtr.</w:t>
      </w:r>
    </w:p>
    <w:p>
      <w:r>
        <w:rPr>
          <w:b/>
        </w:rPr>
        <w:t>E. 5</w:t>
      </w:r>
    </w:p>
    <w:p>
      <w:r>
        <w:t>a) Selon l'art. 83 LEtr, l'Office fédéral des migrations peut admettre provisoirement en Suisse un 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elle peut ne pas être raisonnablement exigée si le renvoi ou l’expulsion de l’étranger dans son pays d’origine ou de provenance le met concrètement en danger, par exemple en cas de guerre, de guerre civile, de violence généralisée ou de nécessité médicale (al. 4). b) En l'espèce, le recourant ne prétend pas que l'exécution du renvoi serait impossible ou inexigible. Il soutient en revanche qu'elle serait illicite, en raison des persécutions dont font l'objet les homosexuels dans son pays d'origine. Cet argument doit être écarté. En effet, comme on l'a déjà relevé ci-dessus, l'homosexualité du recourant ne l'exposera pas en cas de retour au Maroc à un traitement prohibé par l'art. 3 CEDH ou par l'art. 3 Conv. torture.</w:t>
      </w:r>
    </w:p>
    <w:p>
      <w:r>
        <w:rPr>
          <w:b/>
        </w:rPr>
        <w:t>E. 6</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