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PE.2013.0024 vom 29. Juli 2013</w:t>
      </w:r>
    </w:p>
    <w:p>
      <w:r>
        <w:t>VD Tribunal cantonal, 2013-07-29, FR</w:t>
      </w:r>
    </w:p>
    <w:p>
      <w:r>
        <w:rPr>
          <w:b/>
        </w:rPr>
        <w:t xml:space="preserve">Quelle: </w:t>
      </w:r>
      <w:r>
        <w:t>https://mcp.opencaselaw.ch/entscheid/vd_omni_PE.2013.0024</w:t>
      </w:r>
    </w:p>
    <w:p>
      <w:r>
        <w:t>FR: VD_OMNI PE.2013.0024 du 29 juillet 2013</w:t>
      </w:r>
    </w:p>
    <w:p>
      <w:r>
        <w:t>IT: VD_OMNI PE.2013.0024 del 29 luglio 2013</w:t>
      </w:r>
    </w:p>
    <w:p>
      <w:pPr>
        <w:pStyle w:val="Heading2"/>
      </w:pPr>
      <w:r>
        <w:t>Regeste</w:t>
      </w:r>
    </w:p>
    <w:p>
      <w:r>
        <w:t>X.______________ c/Service de l'emploi Contrôle du marché du travail, Service de la population (SPOP) | Décision sommant l'employeur de respecter les procédures applicables en cas d'engagement de main d'œuvre étrangère, refusant d'entrer en matière sur toute demande de main d'œuvre étrangère sur une durée de trois mois que le recourant serait appelé à formuler et mettant à sa charge un émolument administratif de 500 frs. Bien qu'il ait admis, lors du contrôle du chantier, avoir employé le travailleur en situation irrégulière, le recourant conteste aujourd'hui les faits. Le tribunal n'a pas de raison de s'écarter des premières déclarations de l'intéressé, qui sont confirmées par les déclarations faites à la police le jour du contrôle par l'employé en situation irrégulière et par le propriétaire de la maison qui avait mandaté les travaux. Compte tenu de la récidive, une sommation ne peut entrer en ligne de compte et la décision doit être confirmée. Recours rejeté.</w:t>
      </w:r>
    </w:p>
    <w:p>
      <w:pPr>
        <w:pStyle w:val="Heading2"/>
      </w:pPr>
      <w:r>
        <w:t>Erwägungen</w:t>
      </w:r>
    </w:p>
    <w:p>
      <w:r>
        <w:rPr>
          <w:b/>
        </w:rPr>
        <w:t>E. 1</w:t>
      </w:r>
    </w:p>
    <w:p>
      <w:r>
        <w:t>Le recourant sollicite la tenue d'une audience avec audition de témoins. a)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 279 consid. 2.3 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(ATF 136 I 229 consid. 5.3 p. 236; 130 II 425 consid. 2.1 p. 429 et les arrêts cités). b) En l'espèce, le tribunal estime que la tenue d’une audience n’est pas nécessaire. Le recourant a eu l’occasion d’exposer largement ses arguments (par le biais notamment du mémoire de recours et d'observations complémentaires) dans le cadre de son recours. Les auditions requises ne sont pas susceptibles d'influencer le sort de la cause, les faits étant suffisamment établis par le dossier. Au vu des pièces produites, on ne voit pas quelles déclarations permettraient de renverser l’appréciation des faits effectuée plus bas. Les mesures d'instruction sont donc refusées.</w:t>
      </w:r>
    </w:p>
    <w:p>
      <w:r>
        <w:rPr>
          <w:b/>
        </w:rPr>
        <w:t>E. 2</w:t>
      </w:r>
    </w:p>
    <w:p>
      <w:r>
        <w:t>Selon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 autorités compétentes. Le non respect de cette obligation expose l'employeur à la sanction prévue par l'art. 122 LEtr. Aux termes de l'art. 122 LEtr,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en l'absence d'une telle sommation préalable, il y a violation du principe de la proportionnalité (cf. arrêt PE.2010.0302 du 3 novembre 2011 consid. 3a et les références). Selon le SDE, le recourant aurait employé Z.________________, alors que ce dernier n'était titulaire d'aucune autorisation de séjour et de travail. Le SDE tient pour établi que Z.________________ travaillait pour le compte du recourant lors du contrôle de chantier intervenu le 20 octobre 2012. Selon le SDE, le rapport des inspecteurs des chantiers n'est pas équivoque, puisqu'il indique que Z.________________ était bel et bien à pied d'œuvre sur le chantier lors de leur arrivée. De plus, aussi bien le recourant que Z.________________ auraient fait état d'un rapport tarifé existant. Le recourant conteste que Z.________________ ait travaillé pour son compte. Il en veut pour preuve que ce dernier n'est pas qualifié dans les travaux de maçonnerie et qu'il serait incapable de travailler en raison de blessures de guerre. Il fait valoir que la décision résulte d'un malentendu relatif au fait que le SDE n'aurait pas reçu le courrier lui étant adressé par le recourant en date du 14 novembre 2012 dans lequel il expose que Z.________________ se trouvait en tenue de jogging lors de la visite de chantier, accompagné par une autre personne. a)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sauf preuve contraire. L’existence d’une telle présomption relève, par principe, de l'appréciation des preuves; une telle présomption constitue en effet une forme de la preuve par indices (cf. ATF 117 II 256, consid. 2 b, p. 258). Il incombe alors à l'administré de renverser cette présomption, en raison, non seulement de son devoir de collaborer à l'établissement des faits (art. 30 LPA-VD et art. 13 al. 1 let. a PA; cf. ATF 132 II 113 consid. 3.2 p. 115 s.), mais encore de son propre intérêt (cf. ATF 130 II 482 consid. 3.2 p. 485 s.). Selon le Tribunal fédéral, il est douteux que la seule présence d'un employé sur un chantier occupant plusieurs entreprises permette de présumer que celui-ci travaille pour une entreprise précise, même s'il peut en aller différemment en fonction des circonstances d'espèce. Savoir si plusieurs entreprises oeuvrent à la réalisation d'un même ouvrage au moment du contrôle constitue dès lors une circonstance importante qu'il n'est pas possible d'ignorer lors de l'établissement des faits (ATF 2C_778/2012 et 2C_779/2012 du 19 novembre 2012 consid. 3.4). b) En l'espèce, il ressort du procès-verbal de la visite d'inspection que les inspecteurs ont trouvé "2 travailleurs effectuant des travaux de piquage pour la création d'une marche d'escalier". L'un d'eux aurait pris la fuite, l'autre, Z.________________, serait resté sur place et a été interrogé. Selon les déclarations du propriétaire de la maison qui avait commandé les travaux, les deux employés présents le 20 octobre étaient déjà là le jeudi 18 octobre 2012. Dans sa déclaration écrite produite en cours de procédure par le recourant, le propriétaire a exposé qu'avec le temps, il ne pouvait ni confirmer ni infirmer que le Z.________________ avait été actif le samedi et le jeudi. Il a toutefois expliqué que les aménagements extérieurs avaient été confiés à "Y._________________". Seule cette entreprise oeuvrait ce samedi sur place. Convoqué sur le chantier, le recourant a déclaré que c'était son frère qui avait fait venir Z.________________ sur le chantier, que ce dernier n'avait travaillé qu'un seul jour et qu'il sera payé à raison de 20 frs de l'heure. Le recourant a ainsi confirmé avoir employé Z.________________ au moment des faits. Seul le nombre de jours d'activité ne coïncide pas avec les déclarations du propriétaire de la maison faites lors du contrôle de chantier. Lors de son interrogatoire au poste de police, Z.________________ a lui aussi admis avoir déployé une activité pour le compte du recourant. Il parait étonnant que les deux intéressés contestent des faits qu'ils avaient admis précédemment. Il est difficile d'imaginer, comme le fait valoir le recourant, que Z.________________ se soit trouvé sur le chantier d'une maison à 1.************** en tenue de jogging alors qu'il dit vivre à Lausanne, soi-disant pour saluer des connaissances (dans la première version des faits) ou pour aller faire du sport (dans la seconde version des fais), alors que les inspecteurs n'ont trouvé que l'intéressé et un autre protagoniste qui s'est enfuit. C'est en vain que le recourant prétend que Z.________________ est incapable de travailler. Il ressort expressément de ses déclarations issues du procès-verbal de police qu'il est venu en Suisse pour trouver du travail et entretenir les membres de sa famille restés au Kosovo. Il a également affirmé avoir collaboré une quinzaine de jours pour différents employeurs. Force est de constater que l'on se trouve bien en présence d'une activité lucrative au sens de l'art. 11 LEtr. Puisque Z.________________ est le beau-frère du recourant, ce dernier connaissait pertinemment le statut administratif de son employé et aurait dû, s'il souhaitait l'engager, obtenir une autorisation de travail en sa faveur. En outre, il ressort du dossier que le recourant emploie plusieurs autres personnes de nationalité étrangère et doit ainsi être considéré comme étant familier avec les différentes procédures en relation avec l'engagement de personnel étranger, ce d'autant plus qu'il avait déjà été sanctionné le 12 octobre 2010 pour des faits similaires. Une sanction pour non respect, de manière répétée, aux procédures d'application en cas d'engagement de main d'œuvre étrangère s'impose sans qu'un avertissement préalable soit nécessaire (art. 122 al. 1 LEtr). C'est dès lors à juste titre que l'autorité intimée a prononcé un refus d'entrer en matière sur toute demande de main d'œuvre étrangère que le recourant serait appelé à formuler durant trois mois (ATF 2C_357/2009 du 16 novembre 2009; arrêt PE.2012.0434 du 25 février 2013; PE.2011.0258 du 27 juin 2012). Au surplus, le recourant ne remet pas en doute la quotité de la sanction. Elle ne paraît de toute manière pas excessive compte tenu de la récidive.</w:t>
      </w:r>
    </w:p>
    <w:p>
      <w:r>
        <w:rPr>
          <w:b/>
        </w:rPr>
        <w:t>E. 3</w:t>
      </w:r>
    </w:p>
    <w:p>
      <w:r>
        <w:t>Les considérants qui précèdent conduisent au rejet du recours aux frais du recourant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