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PE.2013.0023 vom 3. Mai 2013</w:t>
      </w:r>
    </w:p>
    <w:p>
      <w:r>
        <w:t>VD Tribunal cantonal, 2013-05-03, FR</w:t>
      </w:r>
    </w:p>
    <w:p>
      <w:r>
        <w:rPr>
          <w:b/>
        </w:rPr>
        <w:t xml:space="preserve">Quelle: </w:t>
      </w:r>
      <w:r>
        <w:t>https://mcp.opencaselaw.ch/entscheid/vd_omni_PE.2013.0023</w:t>
      </w:r>
    </w:p>
    <w:p>
      <w:r>
        <w:t>FR: VD_OMNI PE.2013.0023 du 3 mai 2013</w:t>
      </w:r>
    </w:p>
    <w:p>
      <w:r>
        <w:t>IT: VD_OMNI PE.2013.0023 del 3 maggio 2013</w:t>
      </w:r>
    </w:p>
    <w:p>
      <w:pPr>
        <w:pStyle w:val="Heading2"/>
      </w:pPr>
      <w:r>
        <w:t>Regeste</w:t>
      </w:r>
    </w:p>
    <w:p>
      <w:r>
        <w:t>X._____________ c/Service de la population (SPOP) | Le refus du Service de l'emploi d'octroyer une autorisation au sens de l'art. 83 OASA lie le SPOP, lorsque celui-ci est saisi d'une demande d'autorisation de séjour. Bien que le recourant dispose de connaissances et de capacités dans le domaine de la plâtrerie-peinture, l'on ne saurait les qualifier de particulières. De plus, il ne fournit pas la preuve que l'engagement de plâtriers-peintres répondrait à un besoin avéré au sens de l'art. 23 al. 3 let. c LEtr. Recours rejeté.</w:t>
      </w:r>
    </w:p>
    <w:p>
      <w:pPr>
        <w:pStyle w:val="Heading2"/>
      </w:pPr>
      <w:r>
        <w:t>Erwägungen</w:t>
      </w:r>
    </w:p>
    <w:p>
      <w:r>
        <w:rPr>
          <w:b/>
        </w:rPr>
        <w:t>E. 1</w:t>
      </w:r>
    </w:p>
    <w:p>
      <w:r>
        <w:t>Déposé en temps utile le recours satisfait aux conditions formelles énoncées à l’art. 79 de la loi du 28 octobre 2008 sur la procédure administrative (LPA-VD ; RSV 173.36). Il y a donc lieu d’entrer en matière sur le fond.</w:t>
      </w:r>
    </w:p>
    <w:p>
      <w:r>
        <w:rPr>
          <w:b/>
        </w:rPr>
        <w:t>E. 2</w:t>
      </w:r>
    </w:p>
    <w:p>
      <w:r>
        <w:t>Est litigieuse en l'espèce la question de savoir si c'est à juste titre que l'autorité intimée a refusé de délivrer une autorisation de séjour au recourant, ressortissant du Kosovo. a) Les ressortissants étrangers ne bénéficient en principe d'aucun droit à l'obtention d'une autorisation de séjour et de travail, sauf s'ils peuvent le déduire d'une norme particulière du droit fédéral ou d'un traité international (ATF 130 II 281 consid. 2.1, 493 consid. 3.1; 128 II 145 consid. 1.1.1, et les arrêts cités). A teneur de son art. 2, la LEtr s'applique aux étrangers dans la mesure où leur statut juridique n'est pas réglé par d'autres dispositions du droit fédéral ou par des traités internationaux conclus par la Suisse (al. 1). En l'espèce, le recourant, ressortissant du Kosovo, ne peut se prévaloir d'aucun traité qui lui conférerait un droit au séjour ou au travail en Suisse. Le recours s'examine dès lors uniquement au regard du droit interne, soit de la LEtr et de l' OASA. b) En vertu de l’art. 40 al. 2 LEtr, 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L’art. 83 al. 1 er let. a OASA précise qu’avant d’octroyer une première autorisation de séjour ou de courte durée en vue de l’exercice d’une activité lucrative, l’autorité cantonale compétente décide si les conditions sont remplies pour exercer une activité lucrative salariée ou indépendante au sens des art. 18 à 25 LEtr. Dans le canton de Vaud, cette décision relève de la compétence du SDE. L'autorisation de séjour relève de celle du SPOP. Ainsi, si la demande d'autorisation de séjour de l'intéressé ne se fonde pas sur un autre motif que l'exercice d'une activité lucrative, le SPOP est lié par le refus du SDE, conformément à la pratique et à la jurisprudence constante (cf. notamment arrêts PE.2012.0167 du 22 août 2012 consid. 3; PE.2012.0113 du 11 avril 2012 consid. 3a). c) En l’espèce, le SDE a rejeté la demande de prise d’emploi du recourant par décision du 4 juillet 2012. Cette décision n’a pas été contestée. L’autorité intimée n’avait ainsi pas d’autre choix que de rejeter la demande d’autorisation de séjour du recourant, qui ne bénéficie par ailleurs d'aucun droit de séjour en Suisse découlant du droit interne ou du droit international.</w:t>
      </w:r>
    </w:p>
    <w:p>
      <w:r>
        <w:rPr>
          <w:b/>
        </w:rPr>
        <w:t>E. 3</w:t>
      </w:r>
    </w:p>
    <w:p>
      <w:r>
        <w:t>Le recourant fait valoir qu’il dispose de connaissances et capacités professionnelles particulières au sens de l’art. 23 al. 3 LEtr et précise qu’il n’y a actuellement pas assez de plâtriers-peintres expérimentés en Suisse. a) Conformément à l’art. 23 LEtr,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notamment être admis, en dérogation aux al. 1 et 2, les personnes possédant des connaissances ou des capacités professionnelles particulières, si leur admission répond de manière avérée à un besoin (al. 3 let. c). Les directives de l’ODM (ch.4.2.4) précisent les critères qu’il convient d’observer notamment en matière de qualifications personnelles : "Les qualifications peuvent avoir été obtenues, selon la profession ou la spécialisation, à différents niveaux : diplôme universitaire ou d'une haute école spécialisée ; formation professionnelle spéciale assortie de plusieurs années d’expérience ; diplôme professionnel complété d'une formation supplémentaire ; connaissances linguistiques exceptionnelles et indispensables dans des domaines spécifiques. L'existence des qualifications requises peut souvent, lors de l'examen sous l'angle du marché du travail, être déduite également de la fonction du travailleur étranger, par exemple lorsqu'il s'agit de personnes appelées à créer ou à diriger des entreprises importantes pour le marché du travail". b) En l’espèce, il semble que le recourant dispose en effet, de par son expérience professionnelle, de connaissances et capacités dans le domaine de la plâtrerie-peinture. L’on ne saurait toutefois les qualifier de particulières, dans la mesure où il n’a pas suivi de formation professionnelle spéciale et n’est pas au bénéfice d’un diplôme professionnel. Par ailleurs, il se contente d’alléguer que l’engagement de plâtriers-peintres répondrait à un besoin avéré au sens de l’art. 23 al. 3 let. c LEtr sans toutefois fournir de preuves.</w:t>
      </w:r>
    </w:p>
    <w:p>
      <w:r>
        <w:rPr>
          <w:b/>
        </w:rPr>
        <w:t>E. 4</w:t>
      </w:r>
    </w:p>
    <w:p>
      <w:r>
        <w:t>Le recourant reproche à l’autorité intimée d'avoir procédé à une constatation inexacte des faits pertinents dans la mesure où il existe une pénurie de plâtriers-peintres dans la région. Exceptés les cas où une disposition légale prévoit expressément le contrôle de l'opportunité d'une décision, le tribunal de céans n'exerce qu'un contrôle en légalité, c'est-à-dire examine si la décision entreprise est contraire à une disposition légale ou réglementaire expresse, ou relève d'un excès ou d'un abus du pouvoir d'appréciation (art. 98 LPA-VD). La LEtr ne prévoyant aucune disposition étendant le pouvoir de contrôle de l'autorité de recours à l'inopportunité, ce motif ne saurait être examiné par le tribunal de céans.</w:t>
      </w:r>
    </w:p>
    <w:p>
      <w:r>
        <w:rPr>
          <w:b/>
        </w:rPr>
        <w:t>E. 5</w:t>
      </w:r>
    </w:p>
    <w:p>
      <w:r>
        <w:t>Il résulte des considérants qui précèdent que le recours doit être rejeté et la décision attaquée maintenue. Conformément aux art. 45 et 48 LPA-VD, un émolument de justice sera mis à la charge du recourant, qui n’a pas droit à l’allocation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