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PE.2012.0447 vom 25. März 2013</w:t>
      </w:r>
    </w:p>
    <w:p>
      <w:r>
        <w:t>VD Tribunal cantonal, 2013-03-25, FR</w:t>
      </w:r>
    </w:p>
    <w:p>
      <w:r>
        <w:rPr>
          <w:b/>
        </w:rPr>
        <w:t xml:space="preserve">Quelle: </w:t>
      </w:r>
      <w:r>
        <w:t>https://mcp.opencaselaw.ch/entscheid/vd_omni_PE.2012.0447</w:t>
      </w:r>
    </w:p>
    <w:p>
      <w:r>
        <w:t>FR: VD_OMNI PE.2012.0447 du 25 mars 2013</w:t>
      </w:r>
    </w:p>
    <w:p>
      <w:r>
        <w:t>IT: VD_OMNI PE.2012.0447 del 25 marzo 2013</w:t>
      </w:r>
    </w:p>
    <w:p>
      <w:pPr>
        <w:pStyle w:val="Heading2"/>
      </w:pPr>
      <w:r>
        <w:t>Regeste</w:t>
      </w:r>
    </w:p>
    <w:p>
      <w:r>
        <w:t>A. X.________, Y.________ et B. X.________ c/Service de la population (SPOP) | Confirmation du refus du SPOP d'entrer en matière sur une demande de réexamen (suite arrêt PE.2011.0229). La situation financière des intéressés ne s'est pas améliorée. Des motifs d'assistance publique s'opposent toujours à la délivrance d'autorisations de séjour en leur faveur. Recours au TF déclaré irrecevable, pour motivation insuffisante (cause 2C_362/2013).</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b) En l'espèce, la situation financière des recourants ne s'est pas améliorée depuis l'arrêt du 21 juin 2012. Au contraire, l'arrivée d'un deuxième enfant entraînera des charges supplémentaires pour le couple. Des motifs d'assistance publique s'opposent dès lors toujours à la délivrance d'autorisations de séjour en faveur de Y.________ et de B. X.________. C'est dès lors à bon droit que le SPOP n'est pas entré en matière sur la demande de réexamen des recourants.</w:t>
      </w:r>
    </w:p>
    <w:p>
      <w:r>
        <w:rPr>
          <w:b/>
        </w:rPr>
        <w:t>E. 3</w:t>
      </w:r>
    </w:p>
    <w:p>
      <w:r>
        <w:t>Les considérants qui précèdent conduisent au rejet du recours et à la confirmation de la décision attaquée. Les recourants, qui succombent, supporteront les frais de justice (art. 49 al. 1 LPA-VD).  Il n'y a pas lieu d'allouer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