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PE.2012.0446 vom 3. Juli 2013</w:t>
      </w:r>
    </w:p>
    <w:p>
      <w:r>
        <w:t>VD Tribunal cantonal, 2013-07-03, FR</w:t>
      </w:r>
    </w:p>
    <w:p>
      <w:r>
        <w:rPr>
          <w:b/>
        </w:rPr>
        <w:t xml:space="preserve">Quelle: </w:t>
      </w:r>
      <w:r>
        <w:t>https://mcp.opencaselaw.ch/entscheid/vd_omni_PE.2012.0446</w:t>
      </w:r>
    </w:p>
    <w:p>
      <w:r>
        <w:t>FR: VD_OMNI PE.2012.0446 du 3 juillet 2013</w:t>
      </w:r>
    </w:p>
    <w:p>
      <w:r>
        <w:t>IT: VD_OMNI PE.2012.0446 del 3 luglio 2013</w:t>
      </w:r>
    </w:p>
    <w:p>
      <w:pPr>
        <w:pStyle w:val="Heading2"/>
      </w:pPr>
      <w:r>
        <w:t>Regeste</w:t>
      </w:r>
    </w:p>
    <w:p>
      <w:r>
        <w:t>A. X.________/Service de la population (SPOP) | Ressortissant camerounais ayant obtenu une autorisation de séjour à la suite de son mariage avec une ressortissante suisse. Les époux se séparent après moins de trois ans de vie commune et divorcent. Refus de prolonger l'autorisation de séjour de l'intéressé confirmé. Aucune raison personnelle majeure au sens de l'art. 50 al. 1 let. b LEtr n'impose la poursuite de son séjour en Suisse: le comportement adopté par son ex-épouse durant la vie commune et depuis la séparation (menaces de la faire renvoyer, dépôt d'une plainte pénale, diffamations auprès de son employeur et de sa compagne), pour autant qu'il puisse être assimilé à de la "violence conjugale", n'atteint pas le dégré d'intensité requis par l'art. 50 al. 1 let. b LEtr; par ailleurs, ses allégations selon lesquelles en cas de renvoi au Cameroun, sa vie serait en danger, ne sont pas vraisemblables comme l'avait déjà jugé l'ODM lors de l'examen de la requête d'asile de l'intéressé; quant à son intégration, elle ne sort pas de l'ordinaire. Recours au Tribunal fédéral rejeté dans la mesure où il est recevable (ATF 2C_771/2013 du 11 novembre 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reproche au SPOP d'avoir nié l'existence de raisons personnelles majeures au sens de l'art. 50 al. 1 let. b LEtr. 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elle peut être de nature tant physique que psychique (arrêt 2C_155/2011 du 7 juillet 2011 consid. 4.3).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2C_759/2010 du 28 janvier 2011, consid. 5.2.1, 2C_594/2010 du 24 novembre 2010, consid. 3.2, et les références citées). b) En l'espèce, le recourant soutient avoir été victime de violence conjugale en raison du comportement humiliant qu'aurait adopté son ex-femme durant la vie commune et depuis la séparation. Celle-ci – expose-t-il – l'aurait en effet menacé à plusieurs reprises de le faire renvoyer dans son pays d'origine. Elle aurait en outre déposé une plainte pénale calomnieuse à son encontre. Elle l'aurait aussi diffamé auprès de son employeur et de son entourage, en particulier de son ex-compagne. Force est de constater que ces faits, en partie confirmés par les témoins F.________, K.________ et G.________, sont pour l'essentiel tous postérieurs à la séparation et que ce n'est donc pas pour y échapper que le recourant a quitté le domicile conjugal. C'est au contraire son ex-épouse qui a requis la séparation. Or, l'art. 50 al. 2 LEtr vise avant tout à protéger les victimes de violences conjugales admises dans le cadre du regroupement familial, dont on ne peut exiger plus longtemps qu'elles poursuivent l'union conjugale, parce que cette situation risquerait de les perturber gravement, ce qui n'est pas le cas du recourant (ATF 136 II 1 consid. 5.3; voir également arrêt PE.2012.0421 du 7 mars 2013). En tout état de cause, les faits mis en évidence par le recourant – et quand bien même de tels actes sont inacceptables – ne constituent pas des raisons personnelles majeures permettant d'octroyer une autorisation à titre exceptionnel sur la base de l'art. 50 al. 1 let. b et al. 2 LEtr, le degré d'intensité des conséquences pour la vie privée et familiale exigé par cette disposition n'étant pas atteint (voir arrêt du Tribunal fédéral 2C_68/2013 du 25 mars 2013 pour un cas comparable [injures, menaces, lettres de l'époux au SPOP pour lui demander de mettre un terme au séjour de la recourante]; également arrêt PE.2010.0287 du 3 février 2011 où la Cour de céans a jugé que le dépôt d'une plainte pénale infondée ne pouvait être assimilé à de la violence conjugale). Le recourant fait valoir également qu'en cas de retour au Cameroun, sa vie serait en danger. Il expose à cet égard avoir rempli dans le courant de l'année 1999 la fonction de chargé de mission au sein de l'association D.________, association dont l'un des buts était la création d'un grand marché regroupant plusieurs centaines de vendeurs, et avoir dans ce cadre été appelé à dénoncer des comportements malhonnêtes et illicites de certains représentants politiques, ce qui lui aurait valu des menaces contre sa vie qui seraient toujours actuelles. Le recourant a fait valoir ces mêmes arguments dans le cadre de sa demande d'asile. Dans sa décision du 8 juin 2004 (confirmée sur recours), l'Office fédéral des réfugiés a jugé que les déclarations du recourant sur ce point n'étaient pas vraisemblables et que son renvoi était dès lors raisonnablement exigible. Les pièces produites par l'intéressé dans le cadre de la présente procédure ne permettent pas de remettre en cause cette appréciation. Le recourant invoque encore son intégration pour s'opposer à son renvoi. Agé de 44 ans, l'intéressé a vécu les 34 premières années de son existence au Cameroun. Ses racines socio-culturelles se trouvent dans ce pays où il a certainement conservé un cercle d'amis et de connaissances susceptibles de favoriser son retour. Son séjour de neuf ans en Suisse n'a pas pu lui faire perdre tous ses repères dans son pays où il a encore de la famille, notamment ses quatre enfants issus de précédentes relations. Quant à son intégration, elle ne sort pas de l'ordinaire. Certes, le recourant parle français, a un emploi et n'a jamais fait l'objet de condamnation pénale. Ces éléments ne sont toutefois pas si exceptionnels qu'ils feraient apparaître disproportionné son retour au Cameroun (cf. notamment arrêt du Tribunal fédéral 2C_289/2012 du 12 juillet 2012 consid. 4.2 ). A cela s'ajoute que le comportement en Suisse du recourant n'est pas exempt de tout reproche. L'intéressé n'a en effet pas obtempéré à la décision de renvoi prononcée à son encontre et a vécu plus de trois ans dans la clandestinité, ce qui relativise la durée de son séjour en Suisse. De plus, il a bénéficié pendant près d'une année des prestations de l'aide sociale et a contracté des dettes qui lui ont valu des poursuites. Au regard de ces éléments, il n'apparaît pas que la réintégration dans son pays d'origine du recourant, qui est en bonne santé, serait fortement compromise. C'est ainsi à juste titre que le SPOP a nié l'existence de raisons personnelles majeures au sens de l'art. 50 al. 1 let. b LEtr et qu'elle a refusé de prolonger l'autorisation de séjour du recourant.</w:t>
      </w:r>
    </w:p>
    <w:p>
      <w:r>
        <w:rPr>
          <w:b/>
        </w:rPr>
        <w:t>E. 3</w:t>
      </w:r>
    </w:p>
    <w:p>
      <w:r>
        <w:t>Les considérants qui précèdent conduisent au rejet du recours et à la confirmation de la décision attaquée. a) Compte tenu de ses ressources, le recourant a été mis au bénéfice de l'assistance judiciaire par décision du 27 décembre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Olivier Boschetti peut être arrêtée, compte tenu de la liste des opérations produite (annonçant un temps total consacré à l'affaire de 25 heures et 42 minutes), à 5'233 fr. 70 (somme arrondie à 5'234 fr.), correspondant à 4'626 fr. d'honoraires, 220 fr. de débours et 387 fr. 70 de TVA (8 %). b) Les frais de justice, arrêtés à 765 fr. compte tenu des indemnités des témoins (art. 4 al. 1 5 ème tiret et 8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Vu l'issue du litige,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