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PE.2012.0425 vom 11. Februar 2013</w:t>
      </w:r>
    </w:p>
    <w:p>
      <w:r>
        <w:t>VD Tribunal cantonal, 2013-02-11, FR</w:t>
      </w:r>
    </w:p>
    <w:p>
      <w:r>
        <w:rPr>
          <w:b/>
        </w:rPr>
        <w:t xml:space="preserve">Quelle: </w:t>
      </w:r>
      <w:r>
        <w:t>https://mcp.opencaselaw.ch/entscheid/vd_omni_PE.2012.0425</w:t>
      </w:r>
    </w:p>
    <w:p>
      <w:r>
        <w:t>FR: VD_OMNI PE.2012.0425 du 11 février 2013</w:t>
      </w:r>
    </w:p>
    <w:p>
      <w:r>
        <w:t>IT: VD_OMNI PE.2012.0425 del 11 febbraio 2013</w:t>
      </w:r>
    </w:p>
    <w:p>
      <w:pPr>
        <w:pStyle w:val="Heading2"/>
      </w:pPr>
      <w:r>
        <w:t>Regeste</w:t>
      </w:r>
    </w:p>
    <w:p>
      <w:r>
        <w:t>A. X.________/Service de la population (SPOP) | Demande de réexamen déclarée irrecevable, subsidiairement rejetée par le SPOP. Le recourant invoque principalement le fait qu'il vit en Suisse depuis 30 ans, qu'il n'a plus eu affaire à la police depuis sa sortie de prison en 2004, qu'il est le père d'un enfant désormais au bénéfice d'une autorisation d'établissement, que même s'il s'est séparé récemment de sa mère, il a une vie familiale épanouie et qu'il souffre de problèmes de santé nécessitant des soins constants. Ces éléments ne sont pas nouveaux dans la mesure où ils existaient déjà lors des décisions du SPOP rendues successivement en juillet 2003, avril et décembre 2009 et mai 2011. Par ailleurs, si la durée de son séjour en Suisse a augmenté, c'est uniquement parce que le recourant n'a pas quitté la Suisse malgré les injonctions dont il a fait l'objet. Recours rejeté.</w:t>
      </w:r>
    </w:p>
    <w:p>
      <w:pPr>
        <w:pStyle w:val="Heading2"/>
      </w:pPr>
      <w:r>
        <w:t>Erwägungen</w:t>
      </w:r>
    </w:p>
    <w:p>
      <w:r>
        <w:rPr>
          <w:b/>
        </w:rPr>
        <w:t>E. 1</w:t>
      </w:r>
    </w:p>
    <w:p>
      <w:r>
        <w:t>La Cour de droit administratif et public n'exerce qu'un contrôle en légalité des décisions attaquées, c'est-à-dire examine si la décision entreprise est contraire à une disposition légale ou réglementaire expresse, ou relève d'un excès ou d'un abus du pouvoir d'appréciation (art. 98 al. 1 litt. a de la loi sur la procédure administrative du 28 octobre 2008  [LPA-VD; RSV 173.36]).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2</w:t>
      </w:r>
    </w:p>
    <w:p>
      <w:r>
        <w:t>Dans le cas prévu à l'article 64, alinéa 2, lettre b), le droit de demander le réexamen se périme en outre par dix ans dès la notification de la décision.</w:t>
      </w:r>
    </w:p>
    <w:p>
      <w:r>
        <w:rPr>
          <w:b/>
        </w:rPr>
        <w:t>E. 3</w:t>
      </w:r>
    </w:p>
    <w:p>
      <w:r>
        <w:t>Les demandes fondées sur d'autres motifs peuvent être déposées en tout temps.</w:t>
      </w:r>
    </w:p>
    <w:p>
      <w:r>
        <w:rPr>
          <w:b/>
        </w:rPr>
        <w:t>E. 4</w:t>
      </w:r>
    </w:p>
    <w:p>
      <w:r>
        <w:t>Il résulte des considérants qui précèdent que le recours doit être rejeté et la décision attaquée confirmée. Compte tenu des circonstances du cas, le recours s’avère mal fondé, de sorte qu'il est renoncé à l'échange d'écritures ainsi qu'à toute autre mesure d'instruction (cf. art. 82 al. 1 LPA-VD). Le dossier sera retourné au SPOP pour qu’un nouveau délai de départ soit imparti au recourant. Les frais du pourvoi, qui devraient être mis à la charge du recourant débouté (art. 49, 55, 91 et 99 LPA-VD), sont laissés à la charge de l’Etat, le recourant étant au bénéfice de l’assistance judiciaire. Le recourant ne peut pas se voir allouer de dépens, dans la mesure où il n’obtient pas gain de cause (art. 55 al. 1 a contrario LPA-VD). Il sera statué dans une décision ultérieure sur l'indemnité de conseil d'office due à son mandataire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