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PE.2012.0421 vom 7. März 2013</w:t>
      </w:r>
    </w:p>
    <w:p>
      <w:r>
        <w:t>VD Tribunal cantonal, 2013-03-07, FR</w:t>
      </w:r>
    </w:p>
    <w:p>
      <w:r>
        <w:rPr>
          <w:b/>
        </w:rPr>
        <w:t xml:space="preserve">Quelle: </w:t>
      </w:r>
      <w:r>
        <w:t>https://mcp.opencaselaw.ch/entscheid/vd_omni_PE.2012.0421</w:t>
      </w:r>
    </w:p>
    <w:p>
      <w:r>
        <w:t>FR: VD_OMNI PE.2012.0421 du 7 mars 2013</w:t>
      </w:r>
    </w:p>
    <w:p>
      <w:r>
        <w:t>IT: VD_OMNI PE.2012.0421 del 7 marzo 2013</w:t>
      </w:r>
    </w:p>
    <w:p>
      <w:pPr>
        <w:pStyle w:val="Heading2"/>
      </w:pPr>
      <w:r>
        <w:t>Regeste</w:t>
      </w:r>
    </w:p>
    <w:p>
      <w:r>
        <w:t>A. X.________/Service de la population (SPOP) | Recours contre le refus de reconsidérer le renvoi d'une étrangère. Conditions d'un réexamen non remplies en l'absence de pseudo-nova, ou de changement de circonstances. La dissolution de l'union conjugale n'a d'ailleurs pas été le fait de la recourante pour se protéger de violences conjugales au sens de l'art. 50 al. 2 LEtr. Rejet du recours. Recours au Tribunal fédéral irrecevable (arrêt 2C_331/2013 du 19 avril 2013).</w:t>
      </w:r>
    </w:p>
    <w:p>
      <w:pPr>
        <w:pStyle w:val="Heading2"/>
      </w:pPr>
      <w:r>
        <w:t>Erwägungen</w:t>
      </w:r>
    </w:p>
    <w:p>
      <w:r>
        <w:rPr>
          <w:b/>
        </w:rPr>
        <w:t>E. 1</w:t>
      </w:r>
    </w:p>
    <w:p>
      <w:r>
        <w:t>A. X.________ a recouru dans le délai et les formes requises auprès du tribunal compétent (art. 75, 79, 92, 95 et 99 LPA-VD). Le recours est recevable. Il y a donc lieu d'entrer en matière sur le fond.</w:t>
      </w:r>
    </w:p>
    <w:p>
      <w:r>
        <w:rPr>
          <w:b/>
        </w:rPr>
        <w:t>E. 2</w:t>
      </w:r>
    </w:p>
    <w:p>
      <w:r>
        <w:t>Lorsque, comme en l'espèce, l'autorité saisie d'une demande de réexamen refuse d'entrer en matière, le recours ne peut porter que sur le bien-fondé de ce refus (TF 2C_1010/2011 du 31 janvier 2012 consid. 2.1; ATF 113 Ia 146 consid. 3c p. 153 s; CDAP PE.2012.0275 du 25 septembre 2012). 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La première hypothèse de réexamen obligatoire, selon l'art. 64 al. 2 let. a LPA-VD, permet de prendre en compte un changement de circonstances et de modifier une décision administrative correcte à l'origine (Benoît Bovay/Thibault Blanchard/ Clémence Grisel Rapin, Procédure administrative vaudoise, Bâle, 2012, ch. 4.2 ad art. 64 LPA-VD). L'autorité de chose décidée attachée à la décision entrée en force se fondant uniquement sur la situation de fait et de droit au moment où elle a été rendue, il ne s'agit pas d'une révision au sens procédurale du terme, mais d'une adaptation aux circonstances nouvelles. Cette hypothèse ne concerne que les décisions aux effets durables comme c'est le cas par exemple, d'une décision réglementant le statut d'une personne au regard des règles de police des étrangers (PE.2011.0303 du 21 octobre 2011).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(PE.2012.0121 du 18 juillet 2012 et les références citées).</w:t>
      </w:r>
    </w:p>
    <w:p>
      <w:r>
        <w:rPr>
          <w:b/>
        </w:rPr>
        <w:t>E. 3</w:t>
      </w:r>
    </w:p>
    <w:p>
      <w:r>
        <w:t>Le recourante fait valoir qu'elle aurait subi des violences conjugales et que son retour en Algérie la mettrait en danger, ce qui constituerait des raisons personnelles majeures faisant subsister son droit à une autorisation de séjour au sens de l'art. 50 al. 1 let. b et al. 2 LEtr. a) Après dissolution de la famille, le droit du conjoint et des enfants à l’octroi d’une autorisation de séjour et à la prolongation de sa durée de validité subsiste notamment lorsque la poursuite du séjour en Suisse s’impose pour des raisons personnelles majeures, lesquelles sont notamment données lorsque le conjoint est victime de violence conjugale et que la réintégration sociale dans le pays de provenance semble fortement compromise (art. 50 al. 1 let. b et al. 2 LEtr). Selon la jurisprudence fédérale (ATF 136 II 1, consid. 5.3), l'art. 50 al. 1 let. b et al.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 notamment ") et laisse aux autorités une certaine liberté d'appréciation humanitaire (cf. arrêt 2C_216/2009 du 20 août 2009 consid. 2.1).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De même, la réintégration dans le pays d'origine ne constitue une raison personnelle majeure que lorsqu'elle semble fortement compromise.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bien là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b) En l'espèce, la question des violences conjugales que la recourante aurait  subies durant la vie commune avec son mari a déjà été examinée tant dans la décision du SPOP du 27 juin 2011 que dans la décision de la CDAP du 5 avril 2012. Il en ressort qu'aucun élément ne permettait d'établir ces violences. I l s'agit dès lors de déterminer, au sens de l'art. 64 al. 2 let. b LPA-VD, si la recourante invoque des moyens de preuve susceptibles d'influencer l'issue de la procédure, qui existaient déjà lorsque l'autorité a statué (pseudo-nova), à tout le moins qui pouvaient encore être utilement invoqués vu l'avancement de la procédure et de l'instruction, mais qu'elle a découverts postérieurement. En premier lieu, le seul moyen de preuve indiquant l'existence de violences conjugales est l'attestation non datée de l'auteur non identifié de la lettre du 21 octobre 2012, produite à l'appui du présent recours, dont il ressort que cette personne aurait aidé la recourante à se loger lorsque son mari l'aurait frappée en la chassant du domicile. Or, ce moyen de preuve est un témoignage que la recourante aurait pu faire valoir, tant devant le SPOP en 2011 que devant la CDAP en 2012. Il ne saurait donc constituer un pseudo-nova pouvant conduire à un réexamen au sens de l'art. 64 al. 2 let. b LPA-VD. Il en va de même des autres éléments non dépourvus de pertinence dont se prévaut la recourante à l'appui de sa demande de réexamen, lesquels ne peuvent constituer au mieux que des indices non susceptibles d'influer l'issue de la procédure. Aucun élément invoqué à l'égard de violences conjugales ne constitue donc un motif de réexamen au sens de l'art. 64 LPA-VD . Du reste, au sens de la jurisprudence susmentionnée (ATF 136 II 1, consid. 5.3 ), le cas de violences conjugales de l'art. 50 al. 2 LEtr vise avant tout à protéger des victimes admises dans le cadre du regroupement familial, dont on ne peut exiger plus longtemps qu'elles poursuivent l'union conjugale, parce que cette situation risquerait de les perturber gravement. Celles-ci seraient ainsi amenées à mettre fin à l'union conjugale pour éviter de subir de telles violences. Or, il résulte des éléments au dossier que le mari de la recourante voulait la quitter pour se remarier, et qu'il a intenté une procédure de divorce en obtenant d'ailleurs la jouissance du domicile conjugal par ordonnance de mesures provisionnelles du 5 janvier 2011. La dissolution de l'union conjugale n'a donc en rien été le fait de la recourante pour éviter les violences conjugales alléguées. Aucun élément à l'appui de la demande de réexamen ne le laisse d'ailleurs penser. La recourante ne peut donc en tous les cas pas se prévaloir de la protection de l'art. 50 al. 2 LEtr à cet égard. c) La recourante fait valoir qu' un retour en Algérie la mettrait en danger, dans la mesure où un de ses ex-prétendants l'aurait menacée de mort en agressant son père pour une question de dot. Or, cette question de sécurité personnelle de la recourante contre un individu menaçant concerne les autorités de police et de justice algérienne, et ne saurait influer sur le sort de la présente procédure. Elle n'affecte du reste en rien la réintégration sociale de la recourante dans son pays d'origine au sens de l'art. 50 al. 2 LEtr. Dans son arrêt du 5 avril 2012, la CDAP a d'ailleurs considéré que celle-ci ne présentait aucunes difficultés dans la mesure où la recourante avait passé l’essentiel de sa vie en Algérie, où elle avait effectué des études supérieures de chimie et avait travaillé durant plusieurs années avant de venir en Suisse. Les menaces de l'ex-prétendant de la recourante ne constituent donc pas un changement de circonstances permettant de modifier la décision du SPOP au sens de l'art. 64 al. 2 let. a LPA-VD.</w:t>
      </w:r>
    </w:p>
    <w:p>
      <w:r>
        <w:rPr>
          <w:b/>
        </w:rPr>
        <w:t>E. 4</w:t>
      </w:r>
    </w:p>
    <w:p>
      <w:r>
        <w:t>Il résulte des considérants qui précèdent que, faute d'éléments nouveaux déterminants, c'est à juste titre que l'autorité intimée n'est pas entrée en matière sur la demande de réexamen de la recourante. Partant, le recours doit être rejeté et la décision attaquée confirmée. Succombant, la recourante supporte les frais de justice, et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