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PE.2012.0411 vom 6. März 2013</w:t>
      </w:r>
    </w:p>
    <w:p>
      <w:r>
        <w:t>VD Tribunal cantonal, 2013-03-06, FR</w:t>
      </w:r>
    </w:p>
    <w:p>
      <w:r>
        <w:rPr>
          <w:b/>
        </w:rPr>
        <w:t xml:space="preserve">Quelle: </w:t>
      </w:r>
      <w:r>
        <w:t>https://mcp.opencaselaw.ch/entscheid/vd_omni_PE.2012.0411</w:t>
      </w:r>
    </w:p>
    <w:p>
      <w:r>
        <w:t>FR: VD_OMNI PE.2012.0411 du 6 mars 2013</w:t>
      </w:r>
    </w:p>
    <w:p>
      <w:r>
        <w:t>IT: VD_OMNI PE.2012.0411 del 6 marzo 2013</w:t>
      </w:r>
    </w:p>
    <w:p>
      <w:pPr>
        <w:pStyle w:val="Heading2"/>
      </w:pPr>
      <w:r>
        <w:t>Regeste</w:t>
      </w:r>
    </w:p>
    <w:p>
      <w:r>
        <w:t>A. X.________/Service de la population (SPOP) | Confirmation de jurisprudence. En cas de séparation des époux, il y a abus de droit à invoquer l'art. 3 Annexe I ALCP lorsque le lien conjugal est vidé de toute substance et que la demande de regroupement familial vise seulement à obtenir une autorisation de séjour en faveur de l'époux du ressortissant communautaire.</w:t>
      </w:r>
    </w:p>
    <w:p>
      <w:pPr>
        <w:pStyle w:val="Heading2"/>
      </w:pPr>
      <w:r>
        <w:t>Erwägungen</w:t>
      </w:r>
    </w:p>
    <w:p>
      <w:r>
        <w:rPr>
          <w:b/>
        </w:rPr>
        <w:t>E. 1</w:t>
      </w:r>
    </w:p>
    <w:p>
      <w:r>
        <w:t>a) Aux termes de son art. 2 al. 2, la loi fédérale du 16 décembre 2005 sur les étrangers (LEtr; RS 142.20)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(ALCP; RS 0.142.112.681) n’en dispose pas autrement ou si la première prévoit des dispositions plus favorables. A teneur des art. 4 et 7 ALCP, le droit de séjour et d’accès à une activité économique est garanti aux ressortissants des Etats membres et aux membres de leur famille, quelle que soit la nationalité de ceux-ci. Selon l’art. 3 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Selon la jurisprudence en lien avec cette disposition, l’art. 3 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113 consid. 8).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p. 129-134, et les références citées; voir parmi d'autres arrêts plus récents ATF 2C_636/2012 du 6 juillet 2012 consid. 3.2). Selon la jurisprudence relative à l’art. 7 aLSEE, est abusif le comportement du conjoint étranger qui invoque un mariage n’existant plus que formellement dans le seul but d’obtenir ou de conserver une autorisation de séjour (ATF 131 II 265 consid. 4.2 p. 267; 127 II 49 consid. 5a p. 56; 121 II 97 consid. 4b p.104), en particulier lorsque l’union conjugale est rompue définitivement, c’est-à-dire qu’il n’y a plus d’espoir de réconciliation; les causes et les motifs de la rupture ne jouent pas de rôle (ATF 130 II 113 consid. 4.2 p. 117; 128 II 145 consid. 2 p. 151/152; 127 II 49 consid. 5 p. 56 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Aux termes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rPr>
          <w:b/>
        </w:rPr>
        <w:t>E. 2</w:t>
      </w:r>
    </w:p>
    <w:p>
      <w:r>
        <w:t>a) A l'appui de ses conclusions tendant au maintien de son autorisation de séjour UE/AELE, le recourant expose, sur le plan des faits, que l'unique raison de la séparation consistait dans les soupçons d'infidélité que l'épouse nourrissait à son égard. Il confirme que la vie commune n'a pas été reprise mais déclare que son épouse et lui-même maintiennent " une bonne relation ". Sur le plan juridique, le recourant affirme en substance qu'en cas de séparation sans que le mariage ne soit juridiquement dissous, le droit au regroupement familial prévu par l'ALCP est maintenu. Pour le surplus, il se défend d'avoir contracté un mariage destiné à éluder les prescriptions en matière de police des étrangers. Il en veut pour preuve que, selon les termes de la requête de mesures protectrices de l'union conjugale déposée par son épouse, celle-ci pensait " avoir une vie de couple normale " avec lui. b) D'emblée, le tribunal constate que la décision attaquée ne retient pas que le recourant aurait conclu un mariage fictif. Le litige porte uniquement sur le point de savoir si, compte tenu de la séparation intervenue, le recourant invoque abusivement son mariage pour conserver son titre de séjour. En effet, conformément à la jurisprudence qui précède et sur laquelle il n'y a pas lieu de revenir, en cas de séparation des époux, il y a abus de droit à invoquer l’art. 3 Annexe I ALCP lorsque le lien conjugal est vidé de toute substance et que la demande de regroupement familial vise seulement à obtenir une autorisation de séjour pour l’époux du ressortissant communautaire. Cela étant précisé, il résulte du dossier que les époux se sont mariés à l'étranger le 10 décembre 2010. Le recourant a rejoint son épouse en Suisse au mois d'août 2011. Les époux se sont séparés en décembre 2011, voire en janvier 2012, c'est-à-dire à peine quelques mois plus tard. A l'heure actuelle, les conjoints ne vivent plus ensemble depuis plus d'une année. Il s'agit ainsi d'une situation qui perdure. Le recourant ne prétend pas que la séparation serait provisoire et qu'il existerait un espoir de réconciliation. Aucun indice concret et tangible au dossier n'accrédite du reste une telle thèse. En particulier, le recourant n'allègue pas qu'il rechercherait un logement pour cohabiter à nouveau avec son épouse. A lui seul, le maintien d'une bonne relation entre le recourant et son épouse ne signifie pas qu'une reprise de la vie conjugale serait envisagée. En l'état, le mariage du recourant se limite par conséquent à un lien juridique figurant uniquement sur un registre d'état civil. En conséquence, le recourant commet un abus de droit manifeste à se prévaloir de l'art. 3 Annexe I ALCP pour conserver son titre de séjour obtenu en vertu du regroupement familial. En conclusion, la décision attaquée ne viole pas l'ALCP ni ne procède d'un abus du pouvoir d'appréciation de l'autorité intimée. Le recourant ne prétendant pour le surplus pas qu'il remplirait les conditions de l'art. 50 LEtr, la décision attaquée doit être confirmée.</w:t>
      </w:r>
    </w:p>
    <w:p>
      <w:r>
        <w:rPr>
          <w:b/>
        </w:rPr>
        <w:t>E. 3</w:t>
      </w:r>
    </w:p>
    <w:p>
      <w:r>
        <w:t>Les considérants qui précèdent conduisent au rejet du recours, selon la procédure de l'art. 82 LPA-VD, aux frais du recourant qui succombe (art. 49 LPA-VD). Vu l'issue du pourvoi, l'autorité intimée est chargée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