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PE.2012.0392 vom 12. Februar 2013</w:t>
      </w:r>
    </w:p>
    <w:p>
      <w:r>
        <w:t>VD Tribunal cantonal, 2013-02-12, FR</w:t>
      </w:r>
    </w:p>
    <w:p>
      <w:r>
        <w:rPr>
          <w:b/>
        </w:rPr>
        <w:t xml:space="preserve">Quelle: </w:t>
      </w:r>
      <w:r>
        <w:t>https://mcp.opencaselaw.ch/entscheid/vd_omni_PE.2012.0392</w:t>
      </w:r>
    </w:p>
    <w:p>
      <w:r>
        <w:t>FR: VD_OMNI PE.2012.0392 du 12 février 2013</w:t>
      </w:r>
    </w:p>
    <w:p>
      <w:r>
        <w:t>IT: VD_OMNI PE.2012.0392 del 12 febbraio 2013</w:t>
      </w:r>
    </w:p>
    <w:p>
      <w:pPr>
        <w:pStyle w:val="Heading2"/>
      </w:pPr>
      <w:r>
        <w:t>Regeste</w:t>
      </w:r>
    </w:p>
    <w:p>
      <w:r>
        <w:t>X.____________, Y.______________ SA/Service de la population (SPOP), Service de l'emploi Contrôle du marché du travail | Confirmation du refus d'octroyer à une ressortissante bulgare une autorisation de séjour en vue de prendre un emploi de comptable. L'employeur aurait notamment dû apporter la preuve qu'il n'avait pas trouvé sur le marché indigène un travailleur correspondant au profil recherché et les éléments fournis sont à cet égard nettement insuffisants. En outre, c'est postérieurement à la demande d'autorisation de séjour que cet employeur a annoncé le poste vacant à l'ORP et à la suite de cette annonce, plusieurs candidatures lui ont été adressées sans qu'il y ait donné suite. L'essentiel est de retenir que l'employeur a d'emblée porté son choix sur cette ressortissante bulgare, sans faire la moindre recherche sérieuse sur le marché local, ni revenir ultérieurement sur son choix initial.</w:t>
      </w:r>
    </w:p>
    <w:p>
      <w:pPr>
        <w:pStyle w:val="Heading2"/>
      </w:pPr>
      <w:r>
        <w:t>Erwägungen</w:t>
      </w:r>
    </w:p>
    <w:p>
      <w:r>
        <w:rPr>
          <w:b/>
        </w:rPr>
        <w:t>E. 1</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de l’Office fédéral des migrations (ci-après: ODM) prévoient en particulier ce qui suit (version 30.09.2011):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Ces règles correspondent à ce que prévoyaient les art. 7 et 8 de l’ordonnance fédérale du 6 octobre 1986 limitant le nombre des étrangers (OLE), abrogée dès le 1 er janvier 2008.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Sont considérés comme travailleurs qualifiés en premier lieu les personnes au bénéfice d’un diplôme universitaire ou d’une haute école spécialisée et disposant d’une expérience professionnelle de plusieurs années. Selon la profession ou la spécialisation, des personnes disposant d’une formation spécialisée particulière ainsi que d’une expérience professionnelle de plusieurs années peuvent également être admises. Lors de l’octroi d’une autorisation de séjour, il y a lieu de tenir compte, outre des qualifications professionnelles, des critères d’intégration de l’étranger: sa capacité d’adaptation professionnelle et sociale, ses connaissances linguistiques et son âge doivent laisser supposer qu’il s’intégrera durablement à l’environnement professionnel et social suisse (ODM, directives, ch. 4.3.4). b) L 'Accord du 21 juin 1999 entre la Confédération suisse, d’une part, et la Communauté européenne et ses Etats membres, d’autre part, sur la libre circulation des personnes (ALCP, RS 142.112.681) accorde aux ressortissants des Etats contractants un droit d’entrée, de séjour, d’accès à une activité économique salariée et d’établissement en tant qu’indépendant, ainsi que le droit de demeurer sur le territoire des parties contractantes (art. 1 let. a, 3 et 4 ALCP). L’adhésion de la Bulgarie et de la Roumanie à l’Union Européenne, le 1 er janvier 2007, n'a toutefois pas entraîné l’extension à ces Etats de l'ALCP. Le 8 février 2009, le peuple suisse a accepté, en même temps que la reconduction de cet accord, le protocole d’extension de ce dernier à la Bulgarie et à la Roumanie. Ce protocole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à l'ALCP], RS 0.142.112.681.1) est entré en vigueur par échanges de notes le 1 er juin 2009. Il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L'Office fédéral des migrations (ODM) précise ce qui suit au ch. 5.2.1.1 de sa directive " II. Accord sur la circulation des personnes " (version 01.05.11, p. 52): "Conformément au protocole à l’ALCP,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Aussi bien l'ALCP que le protocole à l'ALCP qui l'a complété se fondent sur le critère de la nationalité pour déterminer le cercle des personnes qui entrent dans leur champ d'application. Ainsi, les art. 1, 2 et 3 de l'ALCP prévoient par exemple que l'accord s'applique aux "ressortissants" des parties contractantes (voir not. Alvaro Borghi, La libre circulation des personnes entre la Suisse et l'UE, Editions universitaires suisses 2010, n. 39 ad art. 2 p. 22; Véronique Boillet, L'interdiction de discrimination en raison de la nationalité au sens de l'accord sur la libre circulation des personnes, thèse, Lausanne 2010, p. 38) . De même, dans sa directive, l'ODM retient que les restrictions relatives au marché du travail peuvent être maintenues jusqu'au 31 mai 2016 au plus tard pour les autorisations destinées aux "ressortissants" de Bulgarie et Roumanie (v. dans ce sens, arrêts PE.2012.0165 du 28 septembre 2012; PE.2012.0022 du 13 juillet 2012). Il n'est ainsi nullement question d'un traitement différencié lorsque les ressortissants de Bulgarie et de Roumanie résident dans un Etat membre de l'Union européenne pour lequel l'ALCP est applicable sans réserve. Dans le même sens, la cour de céans a considéré que les restrictions prévues par le protocole à l'ALCP consistant, pour les ressortissants roumains et bulgares, dans la priorité des travailleurs indigènes et le contrôle des conditions de salaire et de travail étaient opposables à une ressortissante roumaine, bien que celle-ci fût domiciliée en Espagne depuis sept ans où elle bénéficiait d'une autorisation de séjour (arrêt PE.2012.0039 du 16 octobre 2012). De même, il a été jugé qu’un ressortissant du Kosovo au bénéfice d'une autorisation de séjour italienne ne pouvait se prévaloir de l'ALCP pour séjourner en Suisse (arrêt PE.2011.0379 du 24 novembre 2011). c) Dans leur jurisprudence constante, le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PE.2012.0041 du 14 juin 2012; PE.2010.0106 du 11 mai 2010; PE.2009.0042 du 14 décembre 2009; PE.2006.0405 du 19 octobre 2006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PE.2012.0010 du 23 mars 2012). Ainsi, dans le cas d'un employeur qui souhaitait engager une ressortissante polonaise, la Cour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ATF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dans le même sens, arrêt PE.2010.0106 du 11 mai 2010).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w:t>
      </w:r>
    </w:p>
    <w:p>
      <w:r>
        <w:rPr>
          <w:b/>
        </w:rPr>
        <w:t>E. 2</w:t>
      </w:r>
    </w:p>
    <w:p>
      <w:r>
        <w:t>a) Souhaitant engager X.______________, ressortissante bulgare au bénéfice d’une autorisation de séjour sans activité lucrative, Y.______________ SA est, en l’occurrence, soumise au contrôle des conditions de salaire et de travail et de la priorité des travailleurs indigènes. Les recourantes ne se prévalent pas, à juste titre de l’exception de l’art. 23 al. 3 let. c LEtr, aux termes duquel peuvent être admises les personnes possédant des connaissances ou des capacités professionnelles particulières, si leur admission répond de manière avérée à un besoin. Dès lors, Y.______________ SA aurait notamment dû apporter la preuve qu'elle n'avait pas trouvé sur le marché indigène un travailleur correspondant au profil recherché. Force est de constater que les éléments fournis sont à cet égard nettement insuffisants. Sans doute, Y.______________ SA fait valoir que le poste de comptable avait déjà été annoncé à l’ORP une première fois en 2010 et une deuxième fois en 2011. Or, les nombreuses candidatures reçues au demeurant ne lui ont pas permis de recruter le candidat recherché. Y.______________ SA met en avant sur ce point le désintérêt des candidats pour le poste de comptable au sein de son entreprise, ce qui paraît a priori surprenant. Quoi qu’il en soit, on doit d’emblée objecter aux recourantes qu’une annonce effectuée plusieurs mois, voire plusieurs années avant la demande d’autorisation de séjour, doit être considérée comme insuffisante au regard de la jurisprudence citée au considérant précédent, qui exige des recherches effectuées immédiatement avant le dépôt de la demande de main-d’œuvre étrangère. b) Y.______________ SA reconnaît avoir cherché des candidats par d’autres voies que la publication d’annonces. On constate à cet égard qu’elle a engagé X.______________ sans effectuer la moindre recherche préalable sur le marché indigène. En effet, c’est postérieurement à la demande au SDE, datée du 15 juin 2012, qu’elle a annoncé le poste vacant à l’ORP. Une seule offre a été publiée le 10 août 2012 pour le poste de comptable à pourvoir. A la suite de cette annonce, Y.______________ SA doit avoir reçu plusieurs candidatures puisque douze demandeurs d’emploi ont été assignés par l’ORP à offrir leurs services. Au demeurant, aucune suite n’y a été donnée puisque le 13 août 2012, Y.______________ SA a renouvelé sa demande afin d’être autorisée à engager X.______________. L’essentiel est de retenir à cet égard que Y.______________ SA a d’emblée porté son choix sur cette dernière, sans faire la moindre recherche sérieuse sur le marché local, et n’est jamais revenu ultérieurement sur son choix initial, ce malgré les candidatures reçues par l’intermédiaire de l’ORP. Sans nier les qualités personnelles d’X.______________, o n peut tout de même se demander si son engagement ne résulte pas en la présente circonstance d’une pure convenance personnelle de Y.______________ SA. c) En dehors de ces éléments, Y.______________ SA ne démontre pas que des démarches concrètes en vue de trouver du personnel auraient été accomplies. En particulier, on aurait pu s'attendre, en sus de nouvelles annonces dans la presse, à ce que cette offre d'emploi soit annoncée auprès d'agences de placement privées ou sur des sites Internet de recherche d'emploi. Dans ces circonstances, au vu des exigences élevées posées par la jurisprudence en la matière, on ne saurait retenir que tous les efforts ont été déployés en vue de trouver un travailleur sur le marché indigène.</w:t>
      </w:r>
    </w:p>
    <w:p>
      <w:r>
        <w:rPr>
          <w:b/>
        </w:rPr>
        <w:t>E. 3</w:t>
      </w:r>
    </w:p>
    <w:p>
      <w:r>
        <w:t>De ce qui précède, il s’ensuit que le recours ne peut qu’être rejeté et la décision confirmée, ceci aux frais des recourantes (art. 49 et 91 de la loi vaudoise du 28 octobre 2008 sur la procédure administrative – LPA-VD; RSV 173.36). Au surplus,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