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PE.2012.0384 vom 10. Februar 2014</w:t>
      </w:r>
    </w:p>
    <w:p>
      <w:r>
        <w:t>VD Tribunal cantonal, 2014-02-10, FR</w:t>
      </w:r>
    </w:p>
    <w:p>
      <w:r>
        <w:rPr>
          <w:b/>
        </w:rPr>
        <w:t xml:space="preserve">Quelle: </w:t>
      </w:r>
      <w:r>
        <w:t>https://mcp.opencaselaw.ch/entscheid/vd_omni_PE.2012.0384</w:t>
      </w:r>
    </w:p>
    <w:p>
      <w:r>
        <w:t>FR: VD_OMNI PE.2012.0384 du 10 février 2014</w:t>
      </w:r>
    </w:p>
    <w:p>
      <w:r>
        <w:t>IT: VD_OMNI PE.2012.0384 del 10 febbraio 2014</w:t>
      </w:r>
    </w:p>
    <w:p>
      <w:pPr>
        <w:pStyle w:val="Heading2"/>
      </w:pPr>
      <w:r>
        <w:t>Regeste</w:t>
      </w:r>
    </w:p>
    <w:p>
      <w:r>
        <w:t>A. X.________/Service de la population (SPOP) | Prolongation du séjour après divorce. Selon la convention sur les effets du divorce signée par les époux et ratifiée par le président du tribunal, les époux se sont séparés de fait en mai 2010, ce qui implique que la vie commune a duré plus que trois ans, vu qu'ils se sont mariés en janvier 2007. Reste ainsi seule litigieuse l'étendue de l'intégration du recourant. Respectueux de l'ordre juridique et socialement intégré, le recourant exerce une activité professionnelle à taux très réduit et fait l'objet de poursuites (qu'il s'efforce de rembourser). Quand bien même il s'agit d'un cas limite, l'intégration du recourant doit être considérée comme réussie et son permis de séjour doit être renouvelé. Admission du recours.</w:t>
      </w:r>
    </w:p>
    <w:p>
      <w:pPr>
        <w:pStyle w:val="Heading2"/>
      </w:pPr>
      <w:r>
        <w:t>Erwägungen</w:t>
      </w:r>
    </w:p>
    <w:p>
      <w:r>
        <w:rPr>
          <w:b/>
        </w:rPr>
        <w:t>E. 1</w:t>
      </w:r>
    </w:p>
    <w:p>
      <w:r>
        <w:t>a) aa) En vertu de l'art. 43 al. 1 de la loi fédérale du 16 décembre 2005 sur les étrangers (LEtr; RS 142.20),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La disparition de cette condition entraîne, sous réserve des art. 49 et 50 LEtr, l'extinction du droit, et ce indépendamment des motifs de séparation. Après la dissolution de la famille, l'art. 50 al. 1 let. a LEtr prévoit que le droit du conjoint à l'octroi d'une autorisation de séjour et à la prolongation de sa durée de validité en vertu de l'art. 43 LEtr subsiste lorsque l'union conjugale a duré au moins trois ans et que l'intégration est réussie. bb) La durée de l'union conjugale d'au moins trois ans, requise par l'art. 50 al. 1 let. a LEtr, se calcule depuis la date du mariage, à condition que la cohabitation ait lieu en Suisse, jusqu'à ce que les époux cessent d'habiter sous le même toit ( ATF 136 II 133 consid. 3.2 i.f. et 3.3 p. 117 ss). Le Tribunal fédéral a souligné que le ménage commun impliquait une vie conjugale effective et une volonté matrimoniale commune des époux ("ein gegenseitiger Ehewille"; cf. ATF 137 II 345 consid. 3.1.2). Il a ainsi jugé que la période, durant laquelle les conjoints avaient provisoirement continué à cohabiter en attendant de pouvoir se constituer deux domiciles séparés, ne pouvait être prise en compte dans le calcul des trois ans de l'art. 50 al. 1 let. a LEtr, faute de vie conjugale effective (cf. arrêt du Tribunal fédéral 2C_748/2011 précité, consid. 2.1 ; arrêt du TAF du 20 novembre 2012 consid. 6.2.1). Par ailleurs, cette durée de trois ans vaut de façon absolue, quand bien même la fin de la vie conjugale serait intervenue quelques jours ou semaines seulement avant l'expiration de ce délai (cf. notamment arrêt du Tribunal fédéral 2C_748/2011 précité, ibid; ATF 2C_594/2010 du 24 novembre 2010 et réf. cit.). cc) Le principe d'intégration veut que les étrangers dont le séjour est légal et durable participent à la vie économique, sociale et culturelle de la Suisse (art. 4 al. 2 LEtr; cf. ATF 134 II 1 consid. 4.1, traduit et résumé in: RDAF 2009 I 543; 2C_329/2012 du 29 juin 2012 consid. 2.2; 2C_997/2011 du 3 avril 2012 consid. 4.3). En vertu de l'art. 77 al. 4 de l'ordonnance fédérale du 24 octobre 2007 relative à l'admission, au séjour et à l'exercice d'une activité lucrative (OASA; RS 142.201), un étranger s'est bien intégré, au sens des art. 77 al. 1 let. a OASA et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il signale aussi que la notion d'"intégration réussie" doit s'examiner à l'aune d'une appréciation globale des circonstances (ATF 2C_329/2012 du 29 juin 2012 consid. 2.2; 2C_997/2011 du 3 avril 2012 consid. 4.3; 2C_749/2011 du 20 janvier 2012 consid. 3.2 et la référence citée ). Dans l'examen de ces critères d'intégration, les autorités compétentes disposent d'un pouvoir d'appréciation (cf. art. 54 al. 2 et 96 al. 1 LEtr et art. 3 OIE). Le Tribunal fédéral a relevé que lorsqu’on est en présence d'un étranger qui est intégré professionnellement en Suisse, qui a toujours été indépendant financièrement, soit qui n'a jamais recouru aux prestations de l'aide sociale, qui s'est comporté correctement, soit qui n'a pas contrevenu à l'ordre public, et qui maîtrise oralement la langue parlée au lieu du domicile, des éléments sérieux sont nécessaires pour nier son intégration au sens de l'art. 50 al. 1 let. a LEtr. Un étranger qui obtient, même au bénéfice d'un emploi à temps partiel, un revenu qui lui permet de subvenir à ses besoins est réputé jouir d'une situation professionnelle stable; il importe peu que l'indépendance financière résulte d'un emploi peu qualifié. L'intégration réussie n'implique en effet pas nécessairement la réalisation d'une trajectoire professionnelle particulièrement brillante au travers d'une activité exercée sans discontinuité, l'essentiel en la matière étant que l'étranger subvienne à ses besoins, qu'il ne dépende pas de l'aide sociale et également qu'il ne s'endette pas (cf. ATF 2C_329/2012 du 29 juin 2012 consid. 2.2; 2C_749/2011 du 20 janvier 2012 consid. 3.3; 2C_426/2011 du 30 novembre 2011 consid. 3.3, et les références citées). b) En l’espèce, selon la convention sur les effets du divorce signée par les époux et ratifiée par le président du tribunal d’arrondissement, les époux se sont séparés de fait en mai 2010, ce qui implique que la vie commune a duré plus que trois ans, vu qu’ils se sont mariés en janvier 2007. Reste ainsi seule litigieuse l'étendue de l'intégration du recourant. S’agissant en premier lieu du respect de l’ordre juridique et des principes démocratiques, il faut relever que le recourant n’a fait l’objet d’aucune condamnation depuis son arrivée en Suisse en 2002 ni n’a occupé en aucune manière les services de police. Au regard des connaissances linguistiques, son intégration est aussi tout à fait bonne. Sur le plan des relations sociales également, les lettres de soutien produites donnent l’image d’une personne qui a su tisser des liens et se faire apprécier. Est plus délicate la question de la volonté du recourant de participer à la vie économique. En effet, depuis plusieurs mois, son activité professionnelle à taux réduit ne lui permet plus de subvenir totalement à ses besoins et il dépend pour ce faire de l’assurance-chômage. En outre, l e recourant fait l'objet de poursuites. Le fait qu'une partie de ces dettes concerne des impôts (sur le revenu et la fortune) du couple et ne lui sont pas uniquement imputables ne change rien au fait que le recourant était également tenu de s'en acquitter. Cela étant, il faut relever que le montant de ces poursuites, sans être négligeable, n’est pas particulièrement important (11'329 fr. de poursuites et 7'676 fr. 75 d’actes de défauts de biens au 23 avril 2012) et que le recourant a produit divers documents attestant du fait qu’il s’efforce de rembourser ces dettes, malgré le revenu réduit qu’il réalise actuellement. Dans ces circonstances, les poursuites existantes ne sauraient impliquer un défaut d’intégration faisant obstacle à la prolongation de l’autorisation de séjour du recourant, d’autant plus que celui-ci n’a jamais bénéficié de l’octroi de prestations de l’aide sociale. I l appartiendra au recourant de veiller à l’avenir à ne pas augmenter son endettement et à assainir sa situation financière, faute de quoi son autorisation de séjour pourrait ne pas être renouvelée dans le futur. Au vu de ces éléments, quand bien même il s’agit d’un cas limite, l'intégration du recourant doit être considérée comme réussie au sens des dispositions mentionnées ci-dessus.</w:t>
      </w:r>
    </w:p>
    <w:p>
      <w:r>
        <w:rPr>
          <w:b/>
        </w:rPr>
        <w:t>E. 2</w:t>
      </w:r>
    </w:p>
    <w:p>
      <w:r>
        <w:t>al. 1 let. a et b RAJ). Dans sa liste des opérations déposée le 17 janvier 2014, le conseil d'office du recourant a annoncé avoir consacré à l'affaire un temps de 7 h. 45, alors que son stagiaire y avait consacré 12 h. 10, ce qui paraît approprié aux nécessités du cas. Il convient dès lors d'allouer au mandataire d'office une indemnité correspondant à 2’733 fr. 35 (1'395 fr. + 1338 fr. 35). A ce montant s'ajoute un montant équitable de 50 fr. pour les débours. Compte tenu de la TVA au taux de 8 %, l'indemnité totale s'élève ainsi à 3’006 fr. 05 (2’733 fr. 35 + 50 + 222 fr. 70), dont à déduire le montant perçu ci-dessus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