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PE.2012.0380 vom 25. Februar 2013</w:t>
      </w:r>
    </w:p>
    <w:p>
      <w:r>
        <w:t>VD Tribunal cantonal, 2013-02-25, FR</w:t>
      </w:r>
    </w:p>
    <w:p>
      <w:r>
        <w:rPr>
          <w:b/>
        </w:rPr>
        <w:t xml:space="preserve">Quelle: </w:t>
      </w:r>
      <w:r>
        <w:t>https://mcp.opencaselaw.ch/entscheid/vd_omni_PE.2012.0380</w:t>
      </w:r>
    </w:p>
    <w:p>
      <w:r>
        <w:t>FR: VD_OMNI PE.2012.0380 du 25 février 2013</w:t>
      </w:r>
    </w:p>
    <w:p>
      <w:r>
        <w:t>IT: VD_OMNI PE.2012.0380 del 25 febbraio 2013</w:t>
      </w:r>
    </w:p>
    <w:p>
      <w:pPr>
        <w:pStyle w:val="Heading2"/>
      </w:pPr>
      <w:r>
        <w:t>Regeste</w:t>
      </w:r>
    </w:p>
    <w:p>
      <w:r>
        <w:t>A. X.________, Y.________/Service de la population (SPOP), Service de l'emploi Contrôle du marché du travail | Refus confirmé d'une demande de main d'oeuvre étrangère en faveur d'un ressortissant équatorien engagé comme aide de cuisine. L'employeur n'a en effet pas démontré avoir déployé des efforts suffisants pour trouver un employé sur le marché indigène. Par ailleurs, l'activité d'aide de cuisine n'est pas celle d'un spécialiste au sens de l'art. 23 LEtr.</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l'emploi.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3.4 ; 116 V consid. 2 p. 310 et les arrêts cités).</w:t>
      </w:r>
    </w:p>
    <w:p>
      <w:r>
        <w:rPr>
          <w:b/>
        </w:rPr>
        <w:t>E. 3</w:t>
      </w:r>
    </w:p>
    <w:p>
      <w:r>
        <w:t>Est litigieuse en l'espèce la question de savoir si c'est à bon droit que l'autorité intimée a refusé d'accorder sur demande du recourant une autorisation de permis de séjour avec activité lucrative en faveur de B. Z.________.</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RS.142.112.681) que l’objectif de cet accord est d’accorder en faveur "des ressortissants" des Etats membres de la Communauté européenne et de la Suisse un droit de séjour, d’entrée, d’accès à une activité économique salariée, d’établissement en tant qu’indépendant et le droit de demeurer sur le territoire des parties contractantes (let a). b) En l'espèce, B. Z.________ étant ressortissant d'Equateur, soit d'un Etat tiers, il ne saurait se prévaloir de l’ALCP. Il est par conséquent soumis aux dispositions de la LEtr.</w:t>
      </w:r>
    </w:p>
    <w:p>
      <w:r>
        <w:rPr>
          <w:b/>
        </w:rPr>
        <w:t>E. 5</w:t>
      </w:r>
    </w:p>
    <w:p>
      <w:r>
        <w:t>Aux termes de l'art. 18 LEtr, un étranger peut être admis en vue de l'exercice d'une activité lucrative salariée aux conditions suivantes: "a. son admission sert les intérêts économiques du pays; b.  son employeur a déposé une demande; c.  les conditions fixées aux art. 20 à 25 sont remplies." Ces conditions sont cumulatives. Selon le ch. 4.3.1 de la directive de l’Office fédéral des migrations (ODM), dans sa teneur au 1 er décembre 2012 (ci-après la "directive de l’ODM"),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w:t>
      </w:r>
    </w:p>
    <w:p>
      <w:r>
        <w:rPr>
          <w:b/>
        </w:rPr>
        <w:t>E. 6</w:t>
      </w:r>
    </w:p>
    <w:p>
      <w:r>
        <w:t>L’autorité intimée estime que les conditions posées à l’art. 21 LEtr ne sont pas réunies. a) Conformément à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S'agissant de l'ordre de priorité au sens de l’art. 21 LEtr, la directive de l’ODM prévoit en particulier ce qui suit: "4.3.2.1 Principe Le recours, en priorité, aux ressources du marché du travail suisse permet d'accroître les chances des travailleurs indigènes en quête d'un emploi et de limiter au maximum l'entrée de nouveaux travailleurs étrangers.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PE.2012.0154 du 14 septembre 2012 consid. 5a; PE.2010.423 du 3 décembre 2010 consid. 3a ; PE.2010.0154 du 9 septembre 2010, consid. 3 et PE.2009.0235 du 31 août 2009, consid. 3 et les arrêts cités; cf. également à ce sujet le chiffre 4.3.2 de la directive de l’ODM).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b) En l’espèce, le recourant n'apporte aucunement la preuve de recherches d'emploi effectuées par le biais d'annonces dans les journaux ou publiées sur internet, et auprès de Bureaux de placement. Du reste, il ne soutient même pas avoir procédé à de telles recherches. Le fait que le recourant n'aurait, comme il l'explique, pas été satisfait des prestations de précédents employés suisses ou communautaires n'y change absolument rien, cette circonstance n'étant pas de nature à le dispenser de procéder aux recherches requises. Force est donc de constater que les conditions de l’art. 21 LEtr et de la jurisprudence précitées ne sont pas réalisées, de sorte que c'est à juste titre que l'autorité intimée a refusé de délivrer une autorisation de séjour en faveur de B. Z.________ . Pour ce motif déjà, le recours doit être rejeté.</w:t>
      </w:r>
    </w:p>
    <w:p>
      <w:r>
        <w:rPr>
          <w:b/>
        </w:rPr>
        <w:t>E. 7</w:t>
      </w:r>
    </w:p>
    <w:p>
      <w:r>
        <w:t>L'autorité intimée estime également que B. Z.________ ne remplit pas les conditions posées à l'art. 23 al. 1 LEtr.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Selon le chiffre 4.3.4 de la directives de l'ODM,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b) En l'espèce, B. Z.________ a été engagé en qualité d'aide de cuisine. A l'évidence, une telle activité ne requiert pas, sur le principe, des qualifications spéciales au sens de l'art. 23 al. 1 LEtr. Le recourant ne soutient pas que son établissement serait un restaurant de spécialités nécessitant un aide de cuisine spécialisé. Le serait-il que le recours ne devrait pas pour autant être admis, dès lors qu'à l'évidence, les conditions fixées à l'engagement d'un cuisinier spécialisé, telles qu'elles découlent du chiffre 4.7.9 de la directive de l'ODM, ne seraient pas réunies. Pour le surplus, le recourant ne soutient pas – à juste titre d'ailleurs – que B. Z.________ entrerait dans la catégorie des cadres ou autres spécialistes au sens de cette disposition, ni dans celle visée à l'art. 23 al. 3 LEtr. Aussi B. Z.________ ne réalise-t-il pas les conditions fixées à l'art. 23 LEtr. Il s'ensuit que, sur ce point également, l'autorité intimée n'a pas abusé de son pouvoir d'appréciation en refusant de délivrer l'autorisation requise et que sa décision doit, partant, être confirmée.</w:t>
      </w:r>
    </w:p>
    <w:p>
      <w:r>
        <w:rPr>
          <w:b/>
        </w:rPr>
        <w:t>E. 8</w:t>
      </w:r>
    </w:p>
    <w:p>
      <w:r>
        <w:t>Il résulte des considérants qui précèdent que le recours doit être rejeté et la décision de l'autorité intimée confirmée. Vu le sort de la cause, les frais seront mis à la charge du recourant, qui n'a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