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PE.2012.0379 vom 12. April 2013</w:t>
      </w:r>
    </w:p>
    <w:p>
      <w:r>
        <w:t>VD Tribunal cantonal, 2013-04-12, FR</w:t>
      </w:r>
    </w:p>
    <w:p>
      <w:r>
        <w:rPr>
          <w:b/>
        </w:rPr>
        <w:t xml:space="preserve">Quelle: </w:t>
      </w:r>
      <w:r>
        <w:t>https://mcp.opencaselaw.ch/entscheid/vd_omni_PE.2012.0379</w:t>
      </w:r>
    </w:p>
    <w:p>
      <w:r>
        <w:t>FR: VD_OMNI PE.2012.0379 du 12 avril 2013</w:t>
      </w:r>
    </w:p>
    <w:p>
      <w:r>
        <w:t>IT: VD_OMNI PE.2012.0379 del 12 aprile 2013</w:t>
      </w:r>
    </w:p>
    <w:p>
      <w:pPr>
        <w:pStyle w:val="Heading2"/>
      </w:pPr>
      <w:r>
        <w:t>Regeste</w:t>
      </w:r>
    </w:p>
    <w:p>
      <w:r>
        <w:t>X.___________ c/Service de la population (SPOP) | Ressortissant équatorien arrivé en Suisse en 2001; sa compagne l'a rejoint et a donné naissance à une petite fille. Ils ont toujours séjourné illégalement. Le couple s'est séparé en 2012, mère et fille sont parties vivre en Equateur. La durée du séjour en Suisse du recourant ne suffit pas à elle seule pour retenir qu'il se trouverait dans une situation personnelle d'extrême gravité au sens de l'art. 30 al. 1 let. b LEtr. De même, le fait qu'il soit intégré professionnellement et que plusieurs membres de sa famille vivent en Suisse est insuffisant. Ce lien ne saurait en effet prévaloir sur celui qu'il se doit d'entretenir avec sa fille (qui vit désormais en Equateur). Un retour dans son pays d'origine peut raisonnablement être envisagé.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demande à se voir octroyer une autorisation de séjour pour cas de rigueur. a) Aux termes de l'art. 30 al. 1 let b de la loi du 16 décembre 2005 sur les étrangers (LEtr; RS 142.20), il est possible de déroger aux conditions d’admission (art. 18 à 29) dans le but de tenir compte des cas individuels d’une extrême gravité ou d’intérêts publics majeurs. L'art. 31 al. 1 de l'ordonnance du 24 octobre 2007 relative à l'admission, au séjour et à l'exercice d'une activité lucrative (OASA;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b)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16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allant largement au delà de l'intégration ordinaire au sens de la jurisprudence. Par ailleurs, l'autonomie financière et le respect des obligations légales, fiscales et sociales n'étaient, à cet égard, pas suffisantes (cf. ATF 2C_200/2012 du 5 mars 2012; voir aussi 2C_541/2012 du 11 juin 2012 où le Tribunal fédéral a déclaré irrecevable le recours déposé par un étranger qui séjournait en Suisse depuis onze ans). c) En l’espèce, le recourant a déclaré vivre en Suisse depuis le mois de juillet 2001, soit depuis onze ans et demi. Il n'a jamais bénéficié d'une autorisation de séjour. Ce séjour a donc toujours été illégal et il ne doit sa longueur qu’à l’obstination du recourant à se soustraire aux décisions de renvoi et d’interdiction d’entrée en Suisse qui lui ont été signifiées, ainsi qu’à l’incapacité des autorités à assurer le respect de ces décisions. Partant, malgré sa durée et au vu de la jurisprudence précitée, ce séjour ne saurait en soi justifier une mesure de régularisation. Depuis son arrivée en Suisse, le recourant a certes occupé divers emplois dans le domaine de la restauration – il a même réussi à trouver un travail fixe à plein temps à compter du 1 er octobre 2012 auprès de l’Auberge communale « 2.*********** » à 1.************ –, n’a jamais fait l’objet de poursuites ni bénéficié de prestations de l’aide sociale, à l’exception d’une très courte période (de décembre 2005 à janvier 2006) et pour un montant total de 2'515 fr. Ces éléments ne suffisent cependant pas à témoigner d’une intégration particulièrement réussie ; les postes qu’il a occupés ne constituent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C-49/2008 du 9 février 2009). Le recourant fait valoir qu’il aura des difficultés à se réintégrer dans son pays d’origine. Toutefois, force est de constater que lors de son arrivée en Suisse, il était âgé de 28 ans. Il apparaît, en outre, qu’il a passé toute son enfance et son adolescence en Equateur, où vivent (depuis l’été 2012) son ex-compagne et leur fille ainsi que d’autres proches. Par conséquent, il y a lieu d’admettre que le recourant a conservé des attaches dans son pays d’origine ainsi que des liens culturels avec celui-ci. Il invoque encore que sa tante, sa sœur et son neveu, dont il est très proche, vivent en Suisse. Sans nier l’attachement que les membres de cette famille se portent, ce lien ne saurait toutefois prévaloir sur celui que le recourant se doit d’entretenir avec sa fille, laquelle vit désormais en Equateur. Il ne peut donc pas prétendre, dans ces conditions, que ses liens avec la Suisse sont si étroits qu’on ne saurait exiger de lui qu’il quitte ce pays. Il est vrai que ses perspectives professionnelles en Equateur pourraient s’avérer délicates étant donné les problèmes économiques et sociaux que rencontre ce pays. Le fait que la situation économique en Equateur soit difficile n’est cependant pas déterminant dès lors que l’art. 30 al. 1 let. b LEtr n’a pas pour but de soustraire les étrangers aux conditions générales de leur pays d’origine (dans ce sens, arrêts PE.2009.0615 du 4 janvier 2010 et PE.2008.0367 du 30 juin 2009). Enfin, le recourant ne se prévaut pas de circonstances particulières qui l’exposeraient à un danger quelconque en cas de retour dans son pays d’origine et il est en bonne santé. d) Il apparaît ainsi que le recourant ne se trouve pas dans un cas individuel d’extrême gravité qui imposerait la poursuite de son séjour en Suisse.</w:t>
      </w:r>
    </w:p>
    <w:p>
      <w:r>
        <w:rPr>
          <w:b/>
        </w:rPr>
        <w:t>E. 3</w:t>
      </w:r>
    </w:p>
    <w:p>
      <w:r>
        <w:t>Il résulte des considérants qui précèdent que le recours, manifestement mal fondé, doit être rejeté selon la procédure simplifiée de l’art. 82 LPA-VD, et la décision attaquée maintenue.</w:t>
      </w:r>
    </w:p>
    <w:p>
      <w:r>
        <w:rPr>
          <w:b/>
        </w:rPr>
        <w:t>E. 4</w:t>
      </w:r>
    </w:p>
    <w:p>
      <w:r>
        <w:t>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