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PE.2012.0299 vom 19. September 2013</w:t>
      </w:r>
    </w:p>
    <w:p>
      <w:r>
        <w:t>VD Tribunal cantonal, 2013-09-19, FR</w:t>
      </w:r>
    </w:p>
    <w:p>
      <w:r>
        <w:rPr>
          <w:b/>
        </w:rPr>
        <w:t xml:space="preserve">Quelle: </w:t>
      </w:r>
      <w:r>
        <w:t>https://mcp.opencaselaw.ch/entscheid/vd_omni_PE.2012.0299</w:t>
      </w:r>
    </w:p>
    <w:p>
      <w:r>
        <w:t>FR: VD_OMNI PE.2012.0299 du 19 septembre 2013</w:t>
      </w:r>
    </w:p>
    <w:p>
      <w:r>
        <w:t>IT: VD_OMNI PE.2012.0299 del 19 settembre 2013</w:t>
      </w:r>
    </w:p>
    <w:p>
      <w:pPr>
        <w:pStyle w:val="Heading2"/>
      </w:pPr>
      <w:r>
        <w:t>Regeste</w:t>
      </w:r>
    </w:p>
    <w:p>
      <w:r>
        <w:t>A. X.________/Service de la population (SPOP) | Ressortissant camerounais ayant obtenu une autorisation de séjour à la suite de mariage avec une ressortissante italienne titulaire d'un permis C. Séparation après moins de 3 ans de vie commune. Confirmation de la révocation de l'autorisation de séjour de l'intéressé. Aucune raison personnelle majeure n'impose la poursuite de son séjour en Suisse: les violences dont le recourant aurait été victime ne sont pas établies; sa réintégration au Cameroun n'est par ailleurs pas fortement compromise (l'intéressé est jeune, en bonne santé, et a encore de la famille dans son pays d'origine, en particulier sa mère et deux enfants). L'art. 8 CEDH n'est par ailleurs pas applicable: les relations que le recourant entretient avec l'enfant qu'il a eu avec son épouse ne saurait être qualifiées d'étroites au sens de la jurisprudence (il ne le voit que 3 heures deux fois par mois dans les locaux d'un Point-Rencontre). Recours au Tribunal fédéral rejeté dans la mesure où il est recevable (arrêt 2C_979/2013 du 25 février 2014).</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Selon la jurisprudence, l’art. 3 par. 1 de l'annexe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13, consid. 8). Selon le Tribunal fédéral, le droit du conjoint étranger de séjourner en Suisse pendant toute la durée formelle du mariage n'est néanmoins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Le Tribunal fédéral a confirmé encore récemment cette jurisprudence dans un arrêt du 6 juillet 2012 (cause 2C_636/2012). Le recourant soutient ainsi en vain que l'époux séparé du travailleur communautaire conserve son droit de séjourner en Suisse, tant qu'il n'est pas définitivement divorcé.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époux X.________ se sont séparés le 1 er septembre 2011 et n'ont pas repris la vie commune depuis lors. Interpellée en cours de procédure par le SPOP, l'épouse du recourant a indiqué que son mari ne s'était pas marié par amour, qu'il se désintéressait de leur fils et qu'elle n'avait pas d'objection à son renvoi de Suisse. En outre, il ressort des pièces du dossier que, dans le cadre de la procédure de mesures protectrices de l'union conjugale, l'épouse du recourant, qui a reproché à son mari de l'avoir menacée à plusieurs reprises d'enlever leur fils et de l'avoir harcelée par téléphone et sms, a obtenu des interdictions de contact et de périmètre qui ont été maintenues jusqu'au 30 juin 2012. Compte tenu de ce contexte, de la teneur de la lettre qu'a adressée l'épouse du recourant au SPOP et de la durée de la séparation (plus de deux ans), force est d'admettre qu'une reprise de la vie commune n'apparaît guère envisageable – ce que le recourant ne semble du reste pas contester – et que c'est à juste titre que l'autorité intimée a considéré que le mariage était vidé de sa substance. Le recourant ne peut dès lors plus se prévaloir de l'art. 3 annexe I ALCP pour demeurer en Suisse. Un éventuel droit à la prolongation de son autorisation de séjour doit par conséquent être examiné au regard de la LEtr et des ordonnances d'exécution.</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La notion d'union conjugale de l'art. 50 al. 1 let. a LEtr ne se confond pas avec le mariage. Alors que ce dernier peut être purement formel, l'union conjugale ( "eheliche Gemeinschaft" ) implique en principe la vie en commun des époux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précité,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souligné par ailleurs que cette durée de trois ans vaut de façon absolue, quand bien même la fin de la vie conjugale serait intervenue quelques jours ou semaines seulement avant l'expiration de ce délai (cf. notamment arrêt du Tribunal fédéral 2C_748/2011 précité, ibid .). b) En l'espèce, les époux X.________ se sont mariés le 8 mars 2010 et se sont séparés le 1 er septembre 2011. Le recourant ne peut ainsi se prévaloir d'une vie commune en Suisse de plus de trois ans. La première des conditions de l'art. 50 al. 1 let. a LEtr n'étant pas remplie, il n'est pas nécessaire d'examiner, à ce stade, si l'intégration est réussie. Le recourant ne peut dès lors pas invoquer l'application de l'art. 50 al. 1 let. a LEtr.</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Cette disposition vise à régler les situations qui échappent à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p. 348; 137 II 1 consid. 4.1 p. 7). C'est la situation personnelle de l'intéressé qui est décisive et non l'intérêt public que revêt une politique migratoire restrictive. Il s’agit d’examiner si l’obligation de l'étranger d'avoir à quitter la Suisse après l'échec du mariage affecte in concreto sa situation personnelle (ATF 138 II 229 consid. 3; ATF 137 II 345 consid. 3.2.1).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p. 4); elle peut être de nature tant physique que psychique (arrêt du TF 2C_155/2011 du 7 juillet 2011 consid. 4.3). Selon l'art. 77 al. 6 et 6bis OASA, sont notamment considérés comme indices de violence conjugale les certificats médicaux, les rapports de police, les plaintes pénales, les mesures au sens de l'art. 28b du Code civil, les jugements pénaux prononcés à ce sujet, ainsi que les renseignements fournis par les services spécialisés. En ce qui concerne la réintégration sociale dans le pays de provenance, l'art. 50 al. 2 LEtr exige qu'elle semble fortement compromise ( "stark gefährdet" ).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TF 2C_759/2010 du 28 janvier 2011, consid. 5.2.1, 2C_594/2010 du 24 novembre 2010, consid. 3.2, et les références citées).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TF 2C_1000/2012 du 21 février 2013 consid. 5.2.1). b) En l'espèce, le recourant a soutenu, dans son recours du 16 août 2013 rédigé par le CSP, avoir été victime de violences conjugales durant la vie commune. Lors de son audition par la police, il a expliqué que son épouse s'était montrée régulièrement violente verbalement avec lui et qu'à une reprise, elle l'avait frappé à la nuque et sur l'épaule avec un rouleau à pâtisserie. Ces faits ne sont pas prouvés. Il ressort certes des pièces du dossier que la Police cantonale zurichoise a dû intervenir au moins à une reprise au domicile des époux X.________ en raison d'une violente dispute. Le "Statthalteramt" du district d'Affoltern am Albis n'a toutefois pas été en mesure de déterminer lequel des époux était responsable et les a condamnés tous les deux pour voies de faits. Aucune autre pièce du dossier ne vient confirmer les allégations du recourant. De toute manière, les faits mis en évidence par le recourant, même s'ils étaient établis, ne constitueraient pas pour autant des raisons personnelles majeures permettant d'octroyer une autorisation à titre exceptionnel sur la base de l'art. 50 al. 1 let. b LEtr, le degré d'intensité des conséquences pour la vie privée et familiale exigé par cette disposition (ATF 137 II 345 consid. 3) n'étant pas atteint. Le recourant a fait valoir en outre, toujours dans son recours du 16 août 2013 rédigé par le CSP, que sa réintégration dans son pays d'origine serait fortement compromise, en raison de la durée de son séjour et de son intégration. Dans ses écritures, il affirme séjourner en Suisse depuis février 2000. Dans sa demande d'autorisation de séjour, il a toutefois indiqué être arrivé en Suisse en octobre 2009 et dans son curriculum vitae il fait remonter ses premières expériences professionnelles à 2005. Aucune pièce du dossier, notamment des contrats de travail, des baux à loyer ou des factures, ne permet de prouver une entrée en Suisse du recourant avant 2009. L'intéressé ne peut dès lors pas se prévaloir d'un long séjour dans notre pays. De toute manière, selon le Tribunal fédéral (ATF 130 II 39 consid. 3; ATF 124 II 110 consid. 3), les années vécues en Suisse dans l'illégalité ne sont pas prises en compte dans l'examen d'un cas de rigueur. Quant à l'intégration du recourant, elle ne sort pas de l'ordinaire. Certes, il parle français, a un emploi fixe et n'émarge pas à l'aide sociale. Ces éléments ne sont toutefois pas si exceptionnels qu'ils feraient apparaître disproportionné son retour au Cameroun (cf. notamment arrêt du Tribunal fédéral 2C_289/2012 du 12 juillet 2012 consid. 4.2 ) . On relève en outre que le recourant a encore de la famille proche au Cameroun, en particulier sa mère et deux enfants, âgés aujourd'hui de onze et huit ans et gardés par sa mère. Au regard de ces éléments, il n'apparaît pas que la réintégration dans son pays d'origine du recourant, qui est jeune et en bonne santé, serait fortement compromise. Le fait que les conditions d'existence soient plus difficiles dans le pays de provenance, compte tenu d'un niveau de vie différent, n'est pas déterminant au regard de l'art. 50 al. 1 let. b LEtr (ATF 137 II 345 consid. 3.2.3). Le recourant ne peut dès lors pas se prévaloir non plus de l'application de l'art. 50 al. 1 let. b LEtr.</w:t>
      </w:r>
    </w:p>
    <w:p>
      <w:r>
        <w:rPr>
          <w:b/>
        </w:rPr>
        <w:t>E. 5</w:t>
      </w:r>
    </w:p>
    <w:p>
      <w:r>
        <w:t>a) Aux termes de l'art. 8 de la Convention de sauvegarde des droits de l'homme et des libertés fondamentales du 4 novembre 1950 (CEDH; RS 0.101), toute personne a notamment droit au respect de sa vie privée et familiale. Cette disposition ne confère cependant pas un droit à séjourner dans un Etat déterminé. Le fait de refuser un droit de séjour à un étranger dont la famille se trouve en Suisse peut toutefois porter atteinte au droit au respect de la vie privée et familiale garanti par cette disposition (cf. ATF 135 I 143 consid. 1.3.1 p. 145; 153 consid. 2.1 p. 154 s.). Pour autant, les liens familiaux ne sauraient conférer de manière absolue, en vertu de l'art. 8 CEDH, un droit d'entrée et de séjour (arrêt 2C_793/2011 du 22 février 2012, consid. 2.1). Selon une jurisprudence constante, un étranger peut néanmoins, selon les circonstances, se prévaloir du droit au respect de sa vie privée et familiale au sens de l'art. 8 par. 1 CEDH pour s'opposer à une éventuelle séparation de sa famille. Encore faut-il, pour pouvoir invoquer cette disposition, que la relation entre l'étranger et une personne de sa famille ayant le droit de résider durablement en Suisse soit étroite et effective. L'art.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 er avril 2010, consid. 2.2). 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Un droit plus étendu peut exister (regroupement familial inversé) en présence de liens familiaux particulièrement forts d'un point de vue affectif et économique; il faut considérer qu'il existe un lien affectif particulièrement fort lorsque le droit de visite est organisé de manière large et qu'il est exercé de manière régulière, spontanée et sans encombre (arrêt 2C_972/2011 du 8 mai 2012 consid. 3.2.2).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 2C_315/2011 du 28 juillet 2011 consid. 3.2 et les références citées). b) En l'espèce, le recourant n'a pas la garde de son fils C. et n'est au bénéfice que d'un droit de visite très restreint (3 heures deux fois par mois) qu'il peut exercer seulement dans les locaux d'un Point-Rencontre. Depuis sa mise en place en mai 2012 (date de la première rencontre), soit il y a un peu plus de quinze mois, le droit de visite du recourant n'a pas été étendu et aucune démarche n'a été entreprise par l'intéressé afin d'obtenir un élargissement (il ne l'a en tout cas pas allégué dans ses écritures), le recourant se limitant à rejeter la faute sur son épouse. Dans ces conditions, on ne peut à l'évidence pas qualifier les relations que le recourant entretient actuellement avec son fils C. d'étroites au sens de la jurisprudence précitée (pour des cas comparables, voir arrêts PE.2012.0422 du 14 juin 2013 et PE.2012.0213 du 10 octobre 2012). Le fait que l'intéressé s'acquitte régulièrement de la pension à laquelle il a été astreint n'est pas déterminant. L'intérêt public à la limitation de la population étrangère l'emporte ainsi sur l'intérêt privé du recourant, qui devra exercer son droit de visite sur son fils C. depuis l'étranger, comme il le fait depuis son arrivée en Suisse avec ses deux enfants restés au Cameroun.</w:t>
      </w:r>
    </w:p>
    <w:p>
      <w:r>
        <w:rPr>
          <w:b/>
        </w:rPr>
        <w:t>E. 6</w:t>
      </w:r>
    </w:p>
    <w:p>
      <w:r>
        <w:t>Les considérants qui précèdent conduisent au rejet du recours et à la confirmation de la décision attaquée. Le recourant, qui succombe, supportera les frais de justice (art. 49 al. 1 LPA-VD). Il n'aura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